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ascii="Arial"/>
          <w:sz w:val="21"/>
        </w:rPr>
        <w:sectPr>
          <w:footerReference r:id="rId5" w:type="default"/>
          <w:pgSz w:w="11908" w:h="16840"/>
          <w:pgMar w:top="1701" w:right="1417" w:bottom="1701" w:left="1417" w:header="0" w:footer="1013" w:gutter="0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150495</wp:posOffset>
            </wp:positionH>
            <wp:positionV relativeFrom="page">
              <wp:posOffset>150495</wp:posOffset>
            </wp:positionV>
            <wp:extent cx="6350" cy="6350"/>
            <wp:effectExtent l="0" t="0" r="0" b="0"/>
            <wp:wrapNone/>
            <wp:docPr id="1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-1905</wp:posOffset>
            </wp:positionH>
            <wp:positionV relativeFrom="page">
              <wp:posOffset>-1905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9" w:lineRule="auto"/>
        <w:ind w:left="18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85" w:line="192" w:lineRule="auto"/>
        <w:ind w:left="2664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43"/>
          <w:szCs w:val="43"/>
        </w:rPr>
        <w:t>贵州省工程建设领域招标项目评标</w:t>
      </w:r>
    </w:p>
    <w:p>
      <w:pPr>
        <w:spacing w:before="1" w:line="206" w:lineRule="auto"/>
        <w:ind w:left="331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评审活动管理办法（试行）</w:t>
      </w:r>
    </w:p>
    <w:bookmarkEnd w:id="0"/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6" w:lineRule="auto"/>
        <w:ind w:left="48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第一章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</w:rPr>
        <w:t>总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</w:rPr>
        <w:t>则</w:t>
      </w:r>
    </w:p>
    <w:p>
      <w:pPr>
        <w:pStyle w:val="2"/>
        <w:spacing w:before="209" w:line="339" w:lineRule="auto"/>
        <w:ind w:left="1816" w:right="17" w:firstLine="634"/>
        <w:jc w:val="both"/>
      </w:pPr>
      <w:r>
        <w:rPr>
          <w:rFonts w:ascii="黑体" w:hAnsi="黑体" w:eastAsia="黑体" w:cs="黑体"/>
          <w:spacing w:val="27"/>
        </w:rPr>
        <w:t>第一条</w:t>
      </w:r>
      <w:r>
        <w:rPr>
          <w:rFonts w:ascii="黑体" w:hAnsi="黑体" w:eastAsia="黑体" w:cs="黑体"/>
          <w:spacing w:val="83"/>
        </w:rPr>
        <w:t xml:space="preserve"> </w:t>
      </w:r>
      <w:r>
        <w:rPr>
          <w:spacing w:val="27"/>
        </w:rPr>
        <w:t>为进一步加强工程建设领域招标投标活动管</w:t>
      </w:r>
      <w:r>
        <w:t xml:space="preserve"> </w:t>
      </w:r>
      <w:r>
        <w:rPr>
          <w:spacing w:val="8"/>
        </w:rPr>
        <w:t>理，促进评标评审工作规范、公平、公正，根据招标投标相</w:t>
      </w:r>
      <w:r>
        <w:rPr>
          <w:spacing w:val="18"/>
        </w:rPr>
        <w:t xml:space="preserve"> </w:t>
      </w:r>
      <w:r>
        <w:rPr>
          <w:spacing w:val="8"/>
        </w:rPr>
        <w:t>关法律、法规、规章和行政规范性文件规定，制定本办法。</w:t>
      </w:r>
    </w:p>
    <w:p>
      <w:pPr>
        <w:pStyle w:val="2"/>
        <w:spacing w:before="53" w:line="339" w:lineRule="auto"/>
        <w:ind w:left="1803" w:right="17" w:firstLine="647"/>
        <w:jc w:val="both"/>
      </w:pPr>
      <w:r>
        <w:rPr>
          <w:rFonts w:ascii="黑体" w:hAnsi="黑体" w:eastAsia="黑体" w:cs="黑体"/>
          <w:spacing w:val="21"/>
        </w:rPr>
        <w:t xml:space="preserve">第二条  </w:t>
      </w:r>
      <w:r>
        <w:rPr>
          <w:spacing w:val="21"/>
        </w:rPr>
        <w:t>本办法适用于进入我省各级公共资源交易中</w:t>
      </w:r>
      <w:r>
        <w:rPr>
          <w:spacing w:val="18"/>
        </w:rPr>
        <w:t xml:space="preserve"> </w:t>
      </w:r>
      <w:r>
        <w:rPr>
          <w:spacing w:val="7"/>
        </w:rPr>
        <w:t>心（</w:t>
      </w:r>
      <w:r>
        <w:rPr>
          <w:spacing w:val="-93"/>
        </w:rPr>
        <w:t xml:space="preserve"> </w:t>
      </w:r>
      <w:r>
        <w:rPr>
          <w:spacing w:val="7"/>
        </w:rPr>
        <w:t>以下统称交易场所）开展评标评审活动的工</w:t>
      </w:r>
      <w:r>
        <w:rPr>
          <w:spacing w:val="6"/>
        </w:rPr>
        <w:t>程建设项目</w:t>
      </w:r>
      <w:r>
        <w:t xml:space="preserve"> </w:t>
      </w:r>
      <w:r>
        <w:rPr>
          <w:spacing w:val="9"/>
        </w:rPr>
        <w:t>（含标段、标包，以下简称招标项目）的监督管理。</w:t>
      </w:r>
    </w:p>
    <w:p>
      <w:pPr>
        <w:pStyle w:val="2"/>
        <w:spacing w:before="64" w:line="332" w:lineRule="auto"/>
        <w:ind w:left="1835" w:right="17" w:firstLine="618"/>
      </w:pPr>
      <w:r>
        <w:rPr>
          <w:spacing w:val="8"/>
        </w:rPr>
        <w:t>在非交易场所开展评标评审活动的工程建设项目，可参</w:t>
      </w:r>
      <w:r>
        <w:rPr>
          <w:spacing w:val="16"/>
        </w:rPr>
        <w:t xml:space="preserve"> </w:t>
      </w:r>
      <w:r>
        <w:rPr>
          <w:spacing w:val="5"/>
        </w:rPr>
        <w:t>照本办法进行监督管理。</w:t>
      </w:r>
    </w:p>
    <w:p>
      <w:pPr>
        <w:pStyle w:val="2"/>
        <w:spacing w:before="61" w:line="332" w:lineRule="auto"/>
        <w:ind w:left="1825" w:right="17" w:firstLine="624"/>
      </w:pPr>
      <w:r>
        <w:rPr>
          <w:spacing w:val="9"/>
        </w:rPr>
        <w:t>本办法所称工程建设项目，是指工程以及与工</w:t>
      </w:r>
      <w:r>
        <w:rPr>
          <w:spacing w:val="8"/>
        </w:rPr>
        <w:t>程建设有</w:t>
      </w:r>
      <w:r>
        <w:t xml:space="preserve"> </w:t>
      </w:r>
      <w:r>
        <w:rPr>
          <w:spacing w:val="5"/>
        </w:rPr>
        <w:t>关的货物、服务。</w:t>
      </w:r>
    </w:p>
    <w:p>
      <w:pPr>
        <w:pStyle w:val="2"/>
        <w:spacing w:before="58" w:line="330" w:lineRule="auto"/>
        <w:ind w:left="1812" w:right="3" w:firstLine="638"/>
      </w:pPr>
      <w:r>
        <w:rPr>
          <w:rFonts w:ascii="黑体" w:hAnsi="黑体" w:eastAsia="黑体" w:cs="黑体"/>
          <w:spacing w:val="21"/>
        </w:rPr>
        <w:t xml:space="preserve">第三条  </w:t>
      </w:r>
      <w:r>
        <w:rPr>
          <w:spacing w:val="21"/>
        </w:rPr>
        <w:t>本办法评标评审活动监督管理包括评标专家</w:t>
      </w:r>
      <w:r>
        <w:rPr>
          <w:spacing w:val="18"/>
        </w:rPr>
        <w:t xml:space="preserve"> </w:t>
      </w:r>
      <w:r>
        <w:rPr>
          <w:spacing w:val="-3"/>
        </w:rPr>
        <w:t>抽取、评标评审行为规范、复核管理、工作纪律等相关内容。</w:t>
      </w:r>
    </w:p>
    <w:p>
      <w:pPr>
        <w:pStyle w:val="2"/>
        <w:spacing w:before="64" w:line="344" w:lineRule="auto"/>
        <w:ind w:left="1808" w:right="17" w:firstLine="642"/>
      </w:pPr>
      <w:r>
        <w:rPr>
          <w:rFonts w:ascii="黑体" w:hAnsi="黑体" w:eastAsia="黑体" w:cs="黑体"/>
          <w:spacing w:val="6"/>
        </w:rPr>
        <w:t xml:space="preserve">第四条  </w:t>
      </w:r>
      <w:r>
        <w:rPr>
          <w:spacing w:val="6"/>
        </w:rPr>
        <w:t>各级工程建设领域招标投标行政监督部门（</w:t>
      </w:r>
      <w:r>
        <w:rPr>
          <w:spacing w:val="-93"/>
        </w:rPr>
        <w:t xml:space="preserve"> </w:t>
      </w:r>
      <w:r>
        <w:rPr>
          <w:spacing w:val="6"/>
        </w:rPr>
        <w:t>以</w:t>
      </w:r>
      <w:r>
        <w:t xml:space="preserve"> </w:t>
      </w:r>
      <w:r>
        <w:rPr>
          <w:spacing w:val="9"/>
        </w:rPr>
        <w:t>下统称行政监督部门）按照规定的职责分工，负责监督管理</w:t>
      </w:r>
      <w:r>
        <w:t xml:space="preserve"> </w:t>
      </w:r>
      <w:r>
        <w:rPr>
          <w:spacing w:val="9"/>
        </w:rPr>
        <w:t>招标项目评标评审活动，受理投诉、举报并依法作出处理决</w:t>
      </w:r>
      <w:r>
        <w:t xml:space="preserve"> </w:t>
      </w:r>
      <w:r>
        <w:rPr>
          <w:spacing w:val="9"/>
        </w:rPr>
        <w:t>定。招标人及其委托的招标代理机构、投标人、评标专家以</w:t>
      </w:r>
      <w:r>
        <w:t xml:space="preserve"> </w:t>
      </w:r>
      <w:r>
        <w:rPr>
          <w:spacing w:val="7"/>
        </w:rPr>
        <w:t>及交易场所等应当接受行政监督部门依法实施的监督管理。</w:t>
      </w:r>
    </w:p>
    <w:p>
      <w:pPr>
        <w:spacing w:line="344" w:lineRule="auto"/>
        <w:sectPr>
          <w:pgSz w:w="11908" w:h="16840"/>
          <w:pgMar w:top="0" w:right="1786" w:bottom="1294" w:left="0" w:header="0" w:footer="1013" w:gutter="0"/>
          <w:cols w:space="720" w:num="1"/>
        </w:sectPr>
      </w:pPr>
    </w:p>
    <w:p>
      <w:pPr>
        <w:pStyle w:val="2"/>
        <w:spacing w:before="188" w:line="344" w:lineRule="auto"/>
        <w:ind w:left="25" w:right="17" w:firstLine="650"/>
        <w:jc w:val="both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交易场所根据评标评审活动、交易验证以及有关现场业</w:t>
      </w:r>
      <w:r>
        <w:rPr>
          <w:spacing w:val="9"/>
        </w:rPr>
        <w:t xml:space="preserve"> 务办理需要，提供场地、设施和服务等，具体负责交</w:t>
      </w:r>
      <w:r>
        <w:rPr>
          <w:spacing w:val="8"/>
        </w:rPr>
        <w:t>易进场</w:t>
      </w:r>
      <w:r>
        <w:t xml:space="preserve"> </w:t>
      </w:r>
      <w:r>
        <w:rPr>
          <w:spacing w:val="9"/>
        </w:rPr>
        <w:t>登记、评标专家抽取、评标专家行为及评审意见记录</w:t>
      </w:r>
      <w:r>
        <w:rPr>
          <w:spacing w:val="8"/>
        </w:rPr>
        <w:t>、交易</w:t>
      </w:r>
      <w:r>
        <w:t xml:space="preserve"> </w:t>
      </w:r>
      <w:r>
        <w:rPr>
          <w:spacing w:val="9"/>
        </w:rPr>
        <w:t>场地及设施保障、交易秩序维护等服务工作，对交易</w:t>
      </w:r>
      <w:r>
        <w:rPr>
          <w:spacing w:val="8"/>
        </w:rPr>
        <w:t>活动进</w:t>
      </w:r>
      <w:r>
        <w:t xml:space="preserve"> </w:t>
      </w:r>
      <w:r>
        <w:rPr>
          <w:spacing w:val="9"/>
        </w:rPr>
        <w:t>行客观公正记录和反映，及时向行政监督部门报告评</w:t>
      </w:r>
      <w:r>
        <w:rPr>
          <w:spacing w:val="8"/>
        </w:rPr>
        <w:t>标评审</w:t>
      </w:r>
      <w:r>
        <w:t xml:space="preserve"> </w:t>
      </w:r>
      <w:r>
        <w:rPr>
          <w:spacing w:val="8"/>
        </w:rPr>
        <w:t>工作异常、违法违规等行为，并协助调查核实。</w:t>
      </w:r>
    </w:p>
    <w:p>
      <w:pPr>
        <w:pStyle w:val="2"/>
        <w:spacing w:before="59" w:line="339" w:lineRule="auto"/>
        <w:ind w:left="26" w:right="17" w:firstLine="637"/>
        <w:jc w:val="both"/>
      </w:pPr>
      <w:r>
        <w:rPr>
          <w:spacing w:val="9"/>
        </w:rPr>
        <w:t>各级发展改革部门负责会同有关行政监督部门、</w:t>
      </w:r>
      <w:r>
        <w:rPr>
          <w:spacing w:val="8"/>
        </w:rPr>
        <w:t>交易场</w:t>
      </w:r>
      <w:r>
        <w:t xml:space="preserve"> </w:t>
      </w:r>
      <w:r>
        <w:rPr>
          <w:spacing w:val="9"/>
        </w:rPr>
        <w:t>所对本区域的贵州省综合评标专家库专家进行管理</w:t>
      </w:r>
      <w:r>
        <w:rPr>
          <w:spacing w:val="8"/>
        </w:rPr>
        <w:t>，并配合</w:t>
      </w:r>
      <w:r>
        <w:t xml:space="preserve"> </w:t>
      </w:r>
      <w:r>
        <w:rPr>
          <w:spacing w:val="8"/>
        </w:rPr>
        <w:t>行政监督部门处理评标评审工作中的投诉和举报。</w:t>
      </w:r>
    </w:p>
    <w:p>
      <w:pPr>
        <w:pStyle w:val="2"/>
        <w:spacing w:before="52" w:line="336" w:lineRule="auto"/>
        <w:ind w:left="28" w:right="17" w:firstLine="633"/>
      </w:pPr>
      <w:r>
        <w:rPr>
          <w:spacing w:val="22"/>
        </w:rPr>
        <w:t>地方各级人民政府对工程建设领域招标投标管理职责</w:t>
      </w:r>
      <w:r>
        <w:rPr>
          <w:spacing w:val="18"/>
        </w:rPr>
        <w:t xml:space="preserve"> </w:t>
      </w:r>
      <w:r>
        <w:rPr>
          <w:spacing w:val="7"/>
        </w:rPr>
        <w:t>分工另有规定的，从其规定。</w:t>
      </w:r>
    </w:p>
    <w:p>
      <w:pPr>
        <w:spacing w:before="46" w:line="225" w:lineRule="auto"/>
        <w:ind w:left="25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评标专家抽取</w:t>
      </w:r>
    </w:p>
    <w:p>
      <w:pPr>
        <w:pStyle w:val="2"/>
        <w:spacing w:before="211" w:line="339" w:lineRule="auto"/>
        <w:ind w:left="23" w:right="17" w:firstLine="631"/>
        <w:jc w:val="both"/>
      </w:pPr>
      <w:r>
        <w:rPr>
          <w:rFonts w:ascii="黑体" w:hAnsi="黑体" w:eastAsia="黑体" w:cs="黑体"/>
          <w:spacing w:val="9"/>
        </w:rPr>
        <w:t xml:space="preserve">第五条  </w:t>
      </w:r>
      <w:r>
        <w:rPr>
          <w:spacing w:val="9"/>
        </w:rPr>
        <w:t>评标由招标人依法组建的评标委员会</w:t>
      </w:r>
      <w:r>
        <w:rPr>
          <w:spacing w:val="8"/>
        </w:rPr>
        <w:t>负责，招</w:t>
      </w:r>
      <w:r>
        <w:t xml:space="preserve"> </w:t>
      </w:r>
      <w:r>
        <w:rPr>
          <w:spacing w:val="9"/>
        </w:rPr>
        <w:t>标人应当根据招标项目实际情况确定所需评标专家数量、专</w:t>
      </w:r>
      <w:r>
        <w:t xml:space="preserve"> </w:t>
      </w:r>
      <w:r>
        <w:rPr>
          <w:spacing w:val="8"/>
        </w:rPr>
        <w:t>业，保障足够的评标评审工作时间。</w:t>
      </w:r>
    </w:p>
    <w:p>
      <w:pPr>
        <w:pStyle w:val="2"/>
        <w:spacing w:before="58" w:line="336" w:lineRule="auto"/>
        <w:ind w:left="26" w:right="17" w:firstLine="623"/>
      </w:pPr>
      <w:r>
        <w:rPr>
          <w:spacing w:val="23"/>
        </w:rPr>
        <w:t>依法必须招标项目的评标委员会由招标人代表和有关</w:t>
      </w:r>
      <w:r>
        <w:rPr>
          <w:spacing w:val="7"/>
        </w:rPr>
        <w:t xml:space="preserve"> </w:t>
      </w:r>
      <w:r>
        <w:rPr>
          <w:spacing w:val="9"/>
        </w:rPr>
        <w:t>技术、经济等方面的专家组成，成员人数为五人以</w:t>
      </w:r>
      <w:r>
        <w:rPr>
          <w:spacing w:val="8"/>
        </w:rPr>
        <w:t>上单数，</w:t>
      </w:r>
      <w:r>
        <w:t xml:space="preserve"> </w:t>
      </w:r>
      <w:r>
        <w:rPr>
          <w:spacing w:val="21"/>
        </w:rPr>
        <w:t>其中技术、经济等方面的专家不得少于成员总数的三分之</w:t>
      </w:r>
      <w:r>
        <w:rPr>
          <w:spacing w:val="15"/>
        </w:rPr>
        <w:t xml:space="preserve"> </w:t>
      </w:r>
      <w:r>
        <w:rPr>
          <w:spacing w:val="-3"/>
        </w:rPr>
        <w:t>二。</w:t>
      </w:r>
    </w:p>
    <w:p>
      <w:pPr>
        <w:pStyle w:val="2"/>
        <w:spacing w:before="93" w:line="339" w:lineRule="auto"/>
        <w:ind w:left="23" w:right="17" w:firstLine="631"/>
      </w:pPr>
      <w:r>
        <w:rPr>
          <w:spacing w:val="23"/>
        </w:rPr>
        <w:t>评标委员会专家成员应当从国务院相关部门组建的评</w:t>
      </w:r>
      <w:r>
        <w:rPr>
          <w:spacing w:val="2"/>
        </w:rPr>
        <w:t xml:space="preserve"> </w:t>
      </w:r>
      <w:r>
        <w:rPr>
          <w:spacing w:val="9"/>
        </w:rPr>
        <w:t>标专家库或者贵州省综合评标专家库以随机抽取方式确定。</w:t>
      </w:r>
      <w:r>
        <w:t xml:space="preserve"> </w:t>
      </w:r>
      <w:r>
        <w:rPr>
          <w:spacing w:val="8"/>
        </w:rPr>
        <w:t>特殊项目可以由招标人依法直接确定。</w:t>
      </w:r>
    </w:p>
    <w:p>
      <w:pPr>
        <w:pStyle w:val="2"/>
        <w:spacing w:before="58" w:line="222" w:lineRule="auto"/>
        <w:ind w:right="17"/>
        <w:jc w:val="right"/>
      </w:pPr>
      <w:r>
        <w:rPr>
          <w:rFonts w:ascii="黑体" w:hAnsi="黑体" w:eastAsia="黑体" w:cs="黑体"/>
          <w:spacing w:val="22"/>
        </w:rPr>
        <w:t xml:space="preserve">第六条  </w:t>
      </w:r>
      <w:r>
        <w:rPr>
          <w:spacing w:val="22"/>
        </w:rPr>
        <w:t>招标人或者其委托的招标代理机构应当在向</w:t>
      </w:r>
    </w:p>
    <w:p>
      <w:pPr>
        <w:spacing w:line="222" w:lineRule="auto"/>
        <w:sectPr>
          <w:footerReference r:id="rId6" w:type="default"/>
          <w:pgSz w:w="11908" w:h="16840"/>
          <w:pgMar w:top="1431" w:right="1786" w:bottom="1293" w:left="1786" w:header="0" w:footer="1013" w:gutter="0"/>
          <w:cols w:space="720" w:num="1"/>
        </w:sectPr>
      </w:pPr>
    </w:p>
    <w:p>
      <w:pPr>
        <w:pStyle w:val="2"/>
        <w:spacing w:before="185" w:line="332" w:lineRule="auto"/>
        <w:ind w:left="36" w:right="17" w:firstLine="1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交易场所提交资格预审公告或者招标公告的同时，提交评标</w:t>
      </w:r>
      <w:r>
        <w:rPr>
          <w:spacing w:val="11"/>
        </w:rPr>
        <w:t xml:space="preserve"> </w:t>
      </w:r>
      <w:r>
        <w:rPr>
          <w:spacing w:val="6"/>
        </w:rPr>
        <w:t>专家抽取申请资料。</w:t>
      </w:r>
    </w:p>
    <w:p>
      <w:pPr>
        <w:pStyle w:val="2"/>
        <w:spacing w:before="59" w:line="339" w:lineRule="auto"/>
        <w:ind w:left="23" w:right="17" w:firstLine="678"/>
        <w:jc w:val="both"/>
      </w:pPr>
      <w:r>
        <w:rPr>
          <w:spacing w:val="7"/>
        </w:rPr>
        <w:t>申请资料包括但不限于抽取条件、回避单位等信息。评</w:t>
      </w:r>
      <w:r>
        <w:rPr>
          <w:spacing w:val="6"/>
        </w:rPr>
        <w:t xml:space="preserve"> </w:t>
      </w:r>
      <w:r>
        <w:rPr>
          <w:spacing w:val="21"/>
        </w:rPr>
        <w:t>标专家专业应当根据《公共资源交易评标专家专业分类标</w:t>
      </w:r>
      <w:r>
        <w:rPr>
          <w:spacing w:val="18"/>
        </w:rPr>
        <w:t xml:space="preserve"> </w:t>
      </w:r>
      <w:r>
        <w:rPr>
          <w:spacing w:val="-5"/>
        </w:rPr>
        <w:t>准》，明确至三级类别专业。</w:t>
      </w:r>
    </w:p>
    <w:p>
      <w:pPr>
        <w:pStyle w:val="2"/>
        <w:spacing w:before="54" w:line="335" w:lineRule="auto"/>
        <w:ind w:left="31" w:right="17" w:firstLine="630"/>
      </w:pPr>
      <w:r>
        <w:rPr>
          <w:spacing w:val="9"/>
        </w:rPr>
        <w:t>对不按规定提供评标专家抽取相关材料的，交易场所不</w:t>
      </w:r>
      <w:r>
        <w:t xml:space="preserve"> </w:t>
      </w:r>
      <w:r>
        <w:rPr>
          <w:spacing w:val="6"/>
        </w:rPr>
        <w:t>得为其办理抽取事宜。</w:t>
      </w:r>
    </w:p>
    <w:p>
      <w:pPr>
        <w:pStyle w:val="2"/>
        <w:spacing w:before="48" w:line="334" w:lineRule="auto"/>
        <w:ind w:left="46" w:right="17" w:firstLine="608"/>
      </w:pPr>
      <w:r>
        <w:rPr>
          <w:rFonts w:ascii="黑体" w:hAnsi="黑体" w:eastAsia="黑体" w:cs="黑体"/>
          <w:spacing w:val="22"/>
        </w:rPr>
        <w:t xml:space="preserve">第七条  </w:t>
      </w:r>
      <w:r>
        <w:rPr>
          <w:spacing w:val="22"/>
        </w:rPr>
        <w:t>贵州省综合评标专家库内专家有下列情形之</w:t>
      </w:r>
      <w:r>
        <w:rPr>
          <w:spacing w:val="3"/>
        </w:rPr>
        <w:t xml:space="preserve"> </w:t>
      </w:r>
      <w:r>
        <w:rPr>
          <w:spacing w:val="7"/>
        </w:rPr>
        <w:t>一的，不得担任招标项目评标委员会成员：</w:t>
      </w:r>
    </w:p>
    <w:p>
      <w:pPr>
        <w:pStyle w:val="2"/>
        <w:spacing w:before="55" w:line="285" w:lineRule="auto"/>
        <w:ind w:left="17" w:right="17" w:firstLine="628"/>
      </w:pPr>
      <w:r>
        <w:rPr>
          <w:spacing w:val="9"/>
        </w:rPr>
        <w:t>（一）作为项目主管部门或者行政监督部门工作人员的</w:t>
      </w:r>
      <w:r>
        <w:rPr>
          <w:spacing w:val="14"/>
        </w:rPr>
        <w:t xml:space="preserve"> </w:t>
      </w:r>
      <w:r>
        <w:rPr>
          <w:spacing w:val="9"/>
        </w:rPr>
        <w:t>（含聘用、挂职、借调人员等</w:t>
      </w:r>
      <w:r>
        <w:rPr>
          <w:spacing w:val="-71"/>
        </w:rPr>
        <w:t>）；</w:t>
      </w:r>
    </w:p>
    <w:p>
      <w:pPr>
        <w:pStyle w:val="2"/>
        <w:spacing w:before="218" w:line="285" w:lineRule="auto"/>
        <w:ind w:left="28" w:right="17" w:firstLine="617"/>
      </w:pPr>
      <w:r>
        <w:rPr>
          <w:spacing w:val="9"/>
        </w:rPr>
        <w:t>（二）任职单位与招标人为同一单位或者隶属关系，或</w:t>
      </w:r>
      <w:r>
        <w:rPr>
          <w:spacing w:val="14"/>
        </w:rPr>
        <w:t xml:space="preserve"> </w:t>
      </w:r>
      <w:r>
        <w:rPr>
          <w:spacing w:val="7"/>
        </w:rPr>
        <w:t>者存在控股、管理关系的；</w:t>
      </w:r>
    </w:p>
    <w:p>
      <w:pPr>
        <w:pStyle w:val="2"/>
        <w:spacing w:before="220" w:line="285" w:lineRule="auto"/>
        <w:ind w:left="26" w:right="17" w:firstLine="619"/>
      </w:pPr>
      <w:r>
        <w:rPr>
          <w:spacing w:val="9"/>
        </w:rPr>
        <w:t>（三）参与过招标项目资格预审文件、招标文件等资料</w:t>
      </w:r>
      <w:r>
        <w:rPr>
          <w:spacing w:val="14"/>
        </w:rPr>
        <w:t xml:space="preserve"> </w:t>
      </w:r>
      <w:r>
        <w:rPr>
          <w:spacing w:val="7"/>
        </w:rPr>
        <w:t>编制以及意见征询、审核的；</w:t>
      </w:r>
    </w:p>
    <w:p>
      <w:pPr>
        <w:pStyle w:val="2"/>
        <w:spacing w:before="218" w:line="285" w:lineRule="auto"/>
        <w:ind w:left="46" w:right="17" w:firstLine="599"/>
      </w:pPr>
      <w:r>
        <w:rPr>
          <w:spacing w:val="9"/>
        </w:rPr>
        <w:t>（四）作为投标人的在职工作人员，投标人负责人的近</w:t>
      </w:r>
      <w:r>
        <w:rPr>
          <w:spacing w:val="14"/>
        </w:rPr>
        <w:t xml:space="preserve"> </w:t>
      </w:r>
      <w:r>
        <w:rPr>
          <w:spacing w:val="5"/>
        </w:rPr>
        <w:t>亲属，或者过去</w:t>
      </w:r>
      <w:r>
        <w:rPr>
          <w:spacing w:val="-36"/>
        </w:rPr>
        <w:t xml:space="preserve"> </w:t>
      </w:r>
      <w:r>
        <w:rPr>
          <w:spacing w:val="5"/>
        </w:rPr>
        <w:t>3</w:t>
      </w:r>
      <w:r>
        <w:rPr>
          <w:spacing w:val="-57"/>
        </w:rPr>
        <w:t xml:space="preserve"> </w:t>
      </w:r>
      <w:r>
        <w:rPr>
          <w:spacing w:val="5"/>
        </w:rPr>
        <w:t>年内与投标人有工作关系</w:t>
      </w:r>
      <w:r>
        <w:rPr>
          <w:spacing w:val="4"/>
        </w:rPr>
        <w:t>的；</w:t>
      </w:r>
    </w:p>
    <w:p>
      <w:pPr>
        <w:pStyle w:val="2"/>
        <w:spacing w:before="219" w:line="286" w:lineRule="auto"/>
        <w:ind w:left="30" w:right="17" w:firstLine="616"/>
      </w:pPr>
      <w:r>
        <w:rPr>
          <w:spacing w:val="9"/>
        </w:rPr>
        <w:t>（五）其他符合法律、法规、规章及行政规范性文件规</w:t>
      </w:r>
      <w:r>
        <w:rPr>
          <w:spacing w:val="14"/>
        </w:rPr>
        <w:t xml:space="preserve"> </w:t>
      </w:r>
      <w:r>
        <w:rPr>
          <w:spacing w:val="5"/>
        </w:rPr>
        <w:t>定的回避情形。</w:t>
      </w:r>
    </w:p>
    <w:p>
      <w:pPr>
        <w:pStyle w:val="2"/>
        <w:spacing w:before="218" w:line="336" w:lineRule="auto"/>
        <w:ind w:left="26" w:right="17" w:firstLine="656"/>
      </w:pPr>
      <w:r>
        <w:rPr>
          <w:spacing w:val="8"/>
        </w:rPr>
        <w:t>国务院相关部门、军队对评标专家抽取另有规定的，从</w:t>
      </w:r>
      <w:r>
        <w:rPr>
          <w:spacing w:val="2"/>
        </w:rPr>
        <w:t xml:space="preserve"> </w:t>
      </w:r>
      <w:r>
        <w:rPr>
          <w:spacing w:val="3"/>
        </w:rPr>
        <w:t>其规定。</w:t>
      </w:r>
    </w:p>
    <w:p>
      <w:pPr>
        <w:pStyle w:val="2"/>
        <w:spacing w:before="45" w:line="333" w:lineRule="auto"/>
        <w:ind w:left="30" w:right="17" w:firstLine="624"/>
      </w:pPr>
      <w:r>
        <w:rPr>
          <w:rFonts w:ascii="黑体" w:hAnsi="黑体" w:eastAsia="黑体" w:cs="黑体"/>
          <w:spacing w:val="9"/>
        </w:rPr>
        <w:t xml:space="preserve">第八条  </w:t>
      </w:r>
      <w:r>
        <w:rPr>
          <w:spacing w:val="9"/>
        </w:rPr>
        <w:t>交易场所收到评标专家抽取申请资料</w:t>
      </w:r>
      <w:r>
        <w:rPr>
          <w:spacing w:val="8"/>
        </w:rPr>
        <w:t>后，应当</w:t>
      </w:r>
      <w:r>
        <w:t xml:space="preserve"> </w:t>
      </w:r>
      <w:r>
        <w:rPr>
          <w:spacing w:val="15"/>
        </w:rPr>
        <w:t>在</w:t>
      </w:r>
      <w:r>
        <w:rPr>
          <w:spacing w:val="-11"/>
        </w:rPr>
        <w:t xml:space="preserve"> </w:t>
      </w:r>
      <w:r>
        <w:rPr>
          <w:spacing w:val="15"/>
        </w:rPr>
        <w:t>3</w:t>
      </w:r>
      <w:r>
        <w:rPr>
          <w:spacing w:val="-59"/>
        </w:rPr>
        <w:t xml:space="preserve"> </w:t>
      </w:r>
      <w:r>
        <w:rPr>
          <w:spacing w:val="15"/>
        </w:rPr>
        <w:t>个工作日</w:t>
      </w:r>
      <w:r>
        <w:rPr>
          <w:spacing w:val="-79"/>
        </w:rPr>
        <w:t xml:space="preserve"> </w:t>
      </w:r>
      <w:r>
        <w:rPr>
          <w:spacing w:val="15"/>
        </w:rPr>
        <w:t>内将相关资料通过公共资源交易“全省一张</w:t>
      </w:r>
    </w:p>
    <w:p>
      <w:pPr>
        <w:spacing w:line="333" w:lineRule="auto"/>
        <w:sectPr>
          <w:footerReference r:id="rId7" w:type="default"/>
          <w:pgSz w:w="11908" w:h="16840"/>
          <w:pgMar w:top="1431" w:right="1786" w:bottom="1293" w:left="1786" w:header="0" w:footer="1013" w:gutter="0"/>
          <w:cols w:space="720" w:num="1"/>
        </w:sectPr>
      </w:pPr>
    </w:p>
    <w:p>
      <w:pPr>
        <w:pStyle w:val="2"/>
        <w:spacing w:before="183" w:line="218" w:lineRule="auto"/>
        <w:ind w:left="59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网”推送至行政监督部门。</w:t>
      </w:r>
    </w:p>
    <w:p>
      <w:pPr>
        <w:pStyle w:val="2"/>
        <w:spacing w:before="225" w:line="346" w:lineRule="auto"/>
        <w:ind w:left="26" w:right="17" w:firstLine="628"/>
      </w:pPr>
      <w:r>
        <w:rPr>
          <w:spacing w:val="9"/>
        </w:rPr>
        <w:t>行政监督部门收到评标专家抽取申请资料后，应当根据</w:t>
      </w:r>
      <w:r>
        <w:rPr>
          <w:spacing w:val="5"/>
        </w:rPr>
        <w:t xml:space="preserve"> </w:t>
      </w:r>
      <w:r>
        <w:rPr>
          <w:spacing w:val="6"/>
        </w:rPr>
        <w:t>国家、省相关规定和招标项目实际情况，在</w:t>
      </w:r>
      <w:r>
        <w:rPr>
          <w:spacing w:val="-22"/>
        </w:rPr>
        <w:t xml:space="preserve"> </w:t>
      </w:r>
      <w:r>
        <w:rPr>
          <w:spacing w:val="6"/>
        </w:rPr>
        <w:t>3</w:t>
      </w:r>
      <w:r>
        <w:rPr>
          <w:spacing w:val="-59"/>
        </w:rPr>
        <w:t xml:space="preserve"> </w:t>
      </w:r>
      <w:r>
        <w:rPr>
          <w:spacing w:val="6"/>
        </w:rPr>
        <w:t>个工作日内对</w:t>
      </w:r>
      <w:r>
        <w:t xml:space="preserve"> </w:t>
      </w:r>
      <w:r>
        <w:rPr>
          <w:spacing w:val="9"/>
        </w:rPr>
        <w:t>评标专家专业、回避单位等抽取条件合规性进行核</w:t>
      </w:r>
      <w:r>
        <w:rPr>
          <w:spacing w:val="8"/>
        </w:rPr>
        <w:t>实确定，</w:t>
      </w:r>
      <w:r>
        <w:t xml:space="preserve"> </w:t>
      </w:r>
      <w:r>
        <w:rPr>
          <w:spacing w:val="9"/>
        </w:rPr>
        <w:t>并向交易场所出具书面意见，或者通过公共资源交</w:t>
      </w:r>
      <w:r>
        <w:rPr>
          <w:spacing w:val="8"/>
        </w:rPr>
        <w:t>易“全省</w:t>
      </w:r>
      <w:r>
        <w:t xml:space="preserve"> </w:t>
      </w:r>
      <w:r>
        <w:rPr>
          <w:spacing w:val="9"/>
        </w:rPr>
        <w:t>一张网”反馈交易场所。逾期未反馈意见的，视为</w:t>
      </w:r>
      <w:r>
        <w:rPr>
          <w:spacing w:val="8"/>
        </w:rPr>
        <w:t>行政监督</w:t>
      </w:r>
      <w:r>
        <w:t xml:space="preserve"> </w:t>
      </w:r>
      <w:r>
        <w:rPr>
          <w:spacing w:val="21"/>
        </w:rPr>
        <w:t>部门同意评标专家抽取条件。对需调整评标专家抽取条件</w:t>
      </w:r>
      <w:r>
        <w:rPr>
          <w:spacing w:val="15"/>
        </w:rPr>
        <w:t xml:space="preserve"> </w:t>
      </w:r>
      <w:r>
        <w:rPr>
          <w:spacing w:val="9"/>
        </w:rPr>
        <w:t>的，行政监督部门或者交易场所应当及时告知招标</w:t>
      </w:r>
      <w:r>
        <w:rPr>
          <w:spacing w:val="8"/>
        </w:rPr>
        <w:t>人或者其</w:t>
      </w:r>
      <w:r>
        <w:t xml:space="preserve"> </w:t>
      </w:r>
      <w:r>
        <w:rPr>
          <w:spacing w:val="8"/>
        </w:rPr>
        <w:t>委托的招标代理机构，并予以配合。</w:t>
      </w:r>
    </w:p>
    <w:p>
      <w:pPr>
        <w:pStyle w:val="2"/>
        <w:spacing w:before="54" w:line="342" w:lineRule="auto"/>
        <w:ind w:left="30" w:right="17" w:firstLine="624"/>
      </w:pPr>
      <w:r>
        <w:rPr>
          <w:spacing w:val="9"/>
        </w:rPr>
        <w:t>评标专家抽取条件确定后，招标人或者其委托的招标代</w:t>
      </w:r>
      <w:r>
        <w:rPr>
          <w:spacing w:val="5"/>
        </w:rPr>
        <w:t xml:space="preserve"> </w:t>
      </w:r>
      <w:r>
        <w:rPr>
          <w:spacing w:val="7"/>
        </w:rPr>
        <w:t>理机构需重新调整抽取条件的，应当至少在</w:t>
      </w:r>
      <w:r>
        <w:rPr>
          <w:spacing w:val="6"/>
        </w:rPr>
        <w:t>开标前</w:t>
      </w:r>
      <w:r>
        <w:rPr>
          <w:spacing w:val="-45"/>
        </w:rPr>
        <w:t xml:space="preserve"> </w:t>
      </w:r>
      <w:r>
        <w:rPr>
          <w:spacing w:val="6"/>
        </w:rPr>
        <w:t>5</w:t>
      </w:r>
      <w:r>
        <w:rPr>
          <w:spacing w:val="-59"/>
        </w:rPr>
        <w:t xml:space="preserve"> </w:t>
      </w:r>
      <w:r>
        <w:rPr>
          <w:spacing w:val="6"/>
        </w:rPr>
        <w:t>个工作</w:t>
      </w:r>
      <w:r>
        <w:t xml:space="preserve"> </w:t>
      </w:r>
      <w:r>
        <w:rPr>
          <w:spacing w:val="8"/>
        </w:rPr>
        <w:t>日向交易场所重新提交申请资料。重新提交申请资料距开标</w:t>
      </w:r>
      <w:r>
        <w:rPr>
          <w:spacing w:val="18"/>
        </w:rPr>
        <w:t xml:space="preserve"> </w:t>
      </w:r>
      <w:r>
        <w:rPr>
          <w:spacing w:val="6"/>
        </w:rPr>
        <w:t>时间不足</w:t>
      </w:r>
      <w:r>
        <w:rPr>
          <w:spacing w:val="-41"/>
        </w:rPr>
        <w:t xml:space="preserve"> </w:t>
      </w:r>
      <w:r>
        <w:rPr>
          <w:spacing w:val="6"/>
        </w:rPr>
        <w:t>5</w:t>
      </w:r>
      <w:r>
        <w:rPr>
          <w:spacing w:val="-58"/>
        </w:rPr>
        <w:t xml:space="preserve"> </w:t>
      </w:r>
      <w:r>
        <w:rPr>
          <w:spacing w:val="6"/>
        </w:rPr>
        <w:t>个工作日的，交易场所不再调整申请。</w:t>
      </w:r>
    </w:p>
    <w:p>
      <w:pPr>
        <w:pStyle w:val="2"/>
        <w:spacing w:before="51" w:line="333" w:lineRule="auto"/>
        <w:ind w:left="36" w:right="17" w:firstLine="618"/>
      </w:pPr>
      <w:r>
        <w:rPr>
          <w:rFonts w:ascii="黑体" w:hAnsi="黑体" w:eastAsia="黑体" w:cs="黑体"/>
          <w:spacing w:val="15"/>
        </w:rPr>
        <w:t xml:space="preserve">第九条 </w:t>
      </w:r>
      <w:r>
        <w:rPr>
          <w:spacing w:val="15"/>
        </w:rPr>
        <w:t>招标人或者其委托的招标代理机构应当在贵州</w:t>
      </w:r>
      <w:r>
        <w:rPr>
          <w:spacing w:val="16"/>
        </w:rPr>
        <w:t xml:space="preserve"> </w:t>
      </w:r>
      <w:r>
        <w:rPr>
          <w:spacing w:val="8"/>
        </w:rPr>
        <w:t>省综合评标专家库抽取终端随机抽取评标专家。</w:t>
      </w:r>
    </w:p>
    <w:p>
      <w:pPr>
        <w:pStyle w:val="2"/>
        <w:spacing w:before="60" w:line="341" w:lineRule="auto"/>
        <w:ind w:left="30" w:right="17" w:firstLine="634"/>
      </w:pPr>
      <w:r>
        <w:rPr>
          <w:spacing w:val="13"/>
        </w:rPr>
        <w:t>省内评标专家应当在开标前</w:t>
      </w:r>
      <w:r>
        <w:rPr>
          <w:spacing w:val="-39"/>
        </w:rPr>
        <w:t xml:space="preserve"> </w:t>
      </w:r>
      <w:r>
        <w:rPr>
          <w:spacing w:val="13"/>
        </w:rPr>
        <w:t>24</w:t>
      </w:r>
      <w:r>
        <w:rPr>
          <w:spacing w:val="-58"/>
        </w:rPr>
        <w:t xml:space="preserve"> </w:t>
      </w:r>
      <w:r>
        <w:rPr>
          <w:spacing w:val="13"/>
        </w:rPr>
        <w:t>小时内抽取，省</w:t>
      </w:r>
      <w:r>
        <w:rPr>
          <w:spacing w:val="12"/>
        </w:rPr>
        <w:t>外评标</w:t>
      </w:r>
      <w:r>
        <w:t xml:space="preserve"> </w:t>
      </w:r>
      <w:r>
        <w:rPr>
          <w:spacing w:val="12"/>
        </w:rPr>
        <w:t>专家应当在开标前</w:t>
      </w:r>
      <w:r>
        <w:rPr>
          <w:spacing w:val="-27"/>
        </w:rPr>
        <w:t xml:space="preserve"> </w:t>
      </w:r>
      <w:r>
        <w:rPr>
          <w:spacing w:val="12"/>
        </w:rPr>
        <w:t>48</w:t>
      </w:r>
      <w:r>
        <w:rPr>
          <w:spacing w:val="-59"/>
        </w:rPr>
        <w:t xml:space="preserve"> </w:t>
      </w:r>
      <w:r>
        <w:rPr>
          <w:spacing w:val="12"/>
        </w:rPr>
        <w:t>小时内抽取，国家有规定的，从其规</w:t>
      </w:r>
      <w:r>
        <w:t xml:space="preserve"> </w:t>
      </w:r>
      <w:r>
        <w:rPr>
          <w:spacing w:val="-5"/>
        </w:rPr>
        <w:t>定。</w:t>
      </w:r>
    </w:p>
    <w:p>
      <w:pPr>
        <w:pStyle w:val="2"/>
        <w:spacing w:before="46" w:line="339" w:lineRule="auto"/>
        <w:ind w:left="21" w:right="17" w:firstLine="633"/>
        <w:jc w:val="both"/>
      </w:pPr>
      <w:r>
        <w:rPr>
          <w:rFonts w:ascii="黑体" w:hAnsi="黑体" w:eastAsia="黑体" w:cs="黑体"/>
          <w:spacing w:val="9"/>
        </w:rPr>
        <w:t xml:space="preserve">第十条  </w:t>
      </w:r>
      <w:r>
        <w:rPr>
          <w:spacing w:val="9"/>
        </w:rPr>
        <w:t>由于招标项目技术复杂，贵州省综合</w:t>
      </w:r>
      <w:r>
        <w:rPr>
          <w:spacing w:val="8"/>
        </w:rPr>
        <w:t>评标评审</w:t>
      </w:r>
      <w:r>
        <w:t xml:space="preserve"> </w:t>
      </w:r>
      <w:r>
        <w:rPr>
          <w:spacing w:val="9"/>
        </w:rPr>
        <w:t>库内评标专家不能满足专业评标需求的，应当从国务院相关</w:t>
      </w:r>
      <w:r>
        <w:rPr>
          <w:spacing w:val="1"/>
        </w:rPr>
        <w:t xml:space="preserve"> </w:t>
      </w:r>
      <w:r>
        <w:rPr>
          <w:spacing w:val="8"/>
        </w:rPr>
        <w:t>部门评标专家库抽取专家。</w:t>
      </w:r>
    </w:p>
    <w:p>
      <w:pPr>
        <w:pStyle w:val="2"/>
        <w:spacing w:before="53" w:line="333" w:lineRule="auto"/>
        <w:ind w:left="36" w:right="17" w:firstLine="618"/>
      </w:pPr>
      <w:r>
        <w:rPr>
          <w:rFonts w:ascii="黑体" w:hAnsi="黑体" w:eastAsia="黑体" w:cs="黑体"/>
          <w:spacing w:val="9"/>
        </w:rPr>
        <w:t xml:space="preserve">第十一条  </w:t>
      </w:r>
      <w:r>
        <w:rPr>
          <w:spacing w:val="9"/>
        </w:rPr>
        <w:t>招标项目符合下列条件之一的，应</w:t>
      </w:r>
      <w:r>
        <w:rPr>
          <w:spacing w:val="8"/>
        </w:rPr>
        <w:t>当从贵州</w:t>
      </w:r>
      <w:r>
        <w:t xml:space="preserve"> </w:t>
      </w:r>
      <w:r>
        <w:rPr>
          <w:spacing w:val="8"/>
        </w:rPr>
        <w:t>省综合评标专家库抽取异地评标专家，并采取远程异地评标</w:t>
      </w:r>
    </w:p>
    <w:p>
      <w:pPr>
        <w:spacing w:line="333" w:lineRule="auto"/>
        <w:sectPr>
          <w:footerReference r:id="rId8" w:type="default"/>
          <w:pgSz w:w="11908" w:h="16840"/>
          <w:pgMar w:top="1431" w:right="1786" w:bottom="1293" w:left="1786" w:header="0" w:footer="1013" w:gutter="0"/>
          <w:cols w:space="720" w:num="1"/>
        </w:sectPr>
      </w:pPr>
    </w:p>
    <w:p>
      <w:pPr>
        <w:pStyle w:val="2"/>
        <w:spacing w:before="183" w:line="220" w:lineRule="auto"/>
        <w:ind w:left="31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方式开展评标评审活动：</w:t>
      </w:r>
    </w:p>
    <w:p>
      <w:pPr>
        <w:pStyle w:val="2"/>
        <w:spacing w:before="217" w:line="284" w:lineRule="auto"/>
        <w:ind w:left="32" w:firstLine="613"/>
      </w:pPr>
      <w:r>
        <w:rPr>
          <w:spacing w:val="1"/>
        </w:rPr>
        <w:t>（一）需抽取专业评标专家人数与交易场所所在市（</w:t>
      </w:r>
      <w:r>
        <w:t xml:space="preserve">州） </w:t>
      </w:r>
      <w:r>
        <w:rPr>
          <w:spacing w:val="-2"/>
        </w:rPr>
        <w:t>对应的二级类别专业评标专家人数比例不足</w:t>
      </w:r>
      <w:r>
        <w:rPr>
          <w:spacing w:val="-41"/>
        </w:rPr>
        <w:t xml:space="preserve"> </w:t>
      </w:r>
      <w:r>
        <w:rPr>
          <w:spacing w:val="-3"/>
        </w:rPr>
        <w:t>1 ∶</w:t>
      </w:r>
      <w:r>
        <w:rPr>
          <w:spacing w:val="-123"/>
        </w:rPr>
        <w:t xml:space="preserve"> </w:t>
      </w:r>
      <w:r>
        <w:rPr>
          <w:spacing w:val="-3"/>
        </w:rPr>
        <w:t>10</w:t>
      </w:r>
      <w:r>
        <w:rPr>
          <w:spacing w:val="-34"/>
        </w:rPr>
        <w:t xml:space="preserve"> </w:t>
      </w:r>
      <w:r>
        <w:rPr>
          <w:spacing w:val="-3"/>
        </w:rPr>
        <w:t>的；</w:t>
      </w:r>
    </w:p>
    <w:p>
      <w:pPr>
        <w:pStyle w:val="2"/>
        <w:spacing w:before="220" w:line="285" w:lineRule="auto"/>
        <w:ind w:left="28" w:right="102" w:firstLine="617"/>
      </w:pPr>
      <w:r>
        <w:rPr>
          <w:spacing w:val="9"/>
        </w:rPr>
        <w:t>（二）符合国家、省关于远程异地评标要求，或者招标</w:t>
      </w:r>
      <w:r>
        <w:rPr>
          <w:spacing w:val="14"/>
        </w:rPr>
        <w:t xml:space="preserve"> </w:t>
      </w:r>
      <w:r>
        <w:rPr>
          <w:spacing w:val="8"/>
        </w:rPr>
        <w:t>人自愿申请采用远程异地评标的；</w:t>
      </w:r>
    </w:p>
    <w:p>
      <w:pPr>
        <w:pStyle w:val="2"/>
        <w:spacing w:before="218" w:line="285" w:lineRule="auto"/>
        <w:ind w:left="654" w:right="102" w:hanging="8"/>
      </w:pPr>
      <w:r>
        <w:rPr>
          <w:spacing w:val="9"/>
        </w:rPr>
        <w:t>（三）行政监督部门认为有必要采取远程异地评标的。</w:t>
      </w:r>
      <w:r>
        <w:rPr>
          <w:spacing w:val="14"/>
        </w:rPr>
        <w:t xml:space="preserve"> </w:t>
      </w:r>
      <w:r>
        <w:rPr>
          <w:spacing w:val="9"/>
        </w:rPr>
        <w:t>采取远程异地评标方式的招标项目，行政监督部门根据</w:t>
      </w:r>
    </w:p>
    <w:p>
      <w:pPr>
        <w:pStyle w:val="2"/>
        <w:spacing w:before="221" w:line="335" w:lineRule="auto"/>
        <w:ind w:left="26" w:right="102" w:firstLine="27"/>
      </w:pPr>
      <w:r>
        <w:rPr>
          <w:spacing w:val="8"/>
        </w:rPr>
        <w:t>国家、省关于远程异地评标相关规定对评标评审</w:t>
      </w:r>
      <w:r>
        <w:rPr>
          <w:spacing w:val="7"/>
        </w:rPr>
        <w:t>活动进行监</w:t>
      </w:r>
      <w:r>
        <w:t xml:space="preserve"> </w:t>
      </w:r>
      <w:r>
        <w:rPr>
          <w:spacing w:val="3"/>
        </w:rPr>
        <w:t>督管理。</w:t>
      </w:r>
    </w:p>
    <w:p>
      <w:pPr>
        <w:spacing w:before="48" w:line="226" w:lineRule="auto"/>
        <w:ind w:left="22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评标评审行为规范</w:t>
      </w:r>
    </w:p>
    <w:p>
      <w:pPr>
        <w:pStyle w:val="2"/>
        <w:spacing w:before="211" w:line="339" w:lineRule="auto"/>
        <w:ind w:left="30" w:right="102" w:firstLine="624"/>
        <w:jc w:val="both"/>
      </w:pPr>
      <w:r>
        <w:rPr>
          <w:rFonts w:ascii="黑体" w:hAnsi="黑体" w:eastAsia="黑体" w:cs="黑体"/>
          <w:spacing w:val="9"/>
        </w:rPr>
        <w:t xml:space="preserve">第十二条  </w:t>
      </w:r>
      <w:r>
        <w:rPr>
          <w:spacing w:val="9"/>
        </w:rPr>
        <w:t>评标委员会成员应当依法客观、公</w:t>
      </w:r>
      <w:r>
        <w:rPr>
          <w:spacing w:val="8"/>
        </w:rPr>
        <w:t>正履行职</w:t>
      </w:r>
      <w:r>
        <w:t xml:space="preserve"> </w:t>
      </w:r>
      <w:r>
        <w:rPr>
          <w:spacing w:val="8"/>
        </w:rPr>
        <w:t>责，遵守评标评审工作纪律，对本人提出的评标评审意见承</w:t>
      </w:r>
      <w:r>
        <w:rPr>
          <w:spacing w:val="18"/>
        </w:rPr>
        <w:t xml:space="preserve"> </w:t>
      </w:r>
      <w:r>
        <w:rPr>
          <w:spacing w:val="5"/>
        </w:rPr>
        <w:t>担个人责任。</w:t>
      </w:r>
    </w:p>
    <w:p>
      <w:pPr>
        <w:pStyle w:val="2"/>
        <w:spacing w:before="53" w:line="343" w:lineRule="auto"/>
        <w:ind w:left="33" w:right="102" w:firstLine="621"/>
      </w:pPr>
      <w:r>
        <w:rPr>
          <w:spacing w:val="9"/>
        </w:rPr>
        <w:t>评标委员会设负责人的，由评标委员会成员按照少数服</w:t>
      </w:r>
      <w:r>
        <w:rPr>
          <w:spacing w:val="5"/>
        </w:rPr>
        <w:t xml:space="preserve"> </w:t>
      </w:r>
      <w:r>
        <w:rPr>
          <w:spacing w:val="8"/>
        </w:rPr>
        <w:t>从多数的原则推举产生。评标委员会负责人负责督促评标委</w:t>
      </w:r>
      <w:r>
        <w:rPr>
          <w:spacing w:val="15"/>
        </w:rPr>
        <w:t xml:space="preserve"> </w:t>
      </w:r>
      <w:r>
        <w:rPr>
          <w:spacing w:val="8"/>
        </w:rPr>
        <w:t>员会成员遵守评标评审纪律和工作要求、组织开展讨论和表</w:t>
      </w:r>
      <w:r>
        <w:rPr>
          <w:spacing w:val="15"/>
        </w:rPr>
        <w:t xml:space="preserve"> </w:t>
      </w:r>
      <w:r>
        <w:rPr>
          <w:spacing w:val="8"/>
        </w:rPr>
        <w:t>决、审核评审结果、汇总评分、起草评标报告等工作。</w:t>
      </w:r>
    </w:p>
    <w:p>
      <w:pPr>
        <w:pStyle w:val="2"/>
        <w:spacing w:before="50" w:line="218" w:lineRule="auto"/>
        <w:ind w:left="660"/>
      </w:pPr>
      <w:r>
        <w:rPr>
          <w:spacing w:val="7"/>
        </w:rPr>
        <w:t>招标人代表不得担任负责人。</w:t>
      </w:r>
    </w:p>
    <w:p>
      <w:pPr>
        <w:pStyle w:val="2"/>
        <w:spacing w:before="224" w:line="339" w:lineRule="auto"/>
        <w:ind w:left="30" w:right="102" w:firstLine="624"/>
      </w:pPr>
      <w:r>
        <w:rPr>
          <w:rFonts w:ascii="黑体" w:hAnsi="黑体" w:eastAsia="黑体" w:cs="黑体"/>
          <w:spacing w:val="15"/>
        </w:rPr>
        <w:t xml:space="preserve">第十三条 </w:t>
      </w:r>
      <w:r>
        <w:rPr>
          <w:spacing w:val="15"/>
        </w:rPr>
        <w:t>评标委员会应当根据招标文件确定的评标标</w:t>
      </w:r>
      <w:r>
        <w:rPr>
          <w:spacing w:val="16"/>
        </w:rPr>
        <w:t xml:space="preserve"> </w:t>
      </w:r>
      <w:r>
        <w:rPr>
          <w:spacing w:val="8"/>
        </w:rPr>
        <w:t>准和方法，对投标文件进行评审和比较。招标文件中没有规</w:t>
      </w:r>
      <w:r>
        <w:rPr>
          <w:spacing w:val="18"/>
        </w:rPr>
        <w:t xml:space="preserve"> </w:t>
      </w:r>
      <w:r>
        <w:rPr>
          <w:spacing w:val="8"/>
        </w:rPr>
        <w:t>定的标准和方法，不得作为评标依据。</w:t>
      </w:r>
    </w:p>
    <w:p>
      <w:pPr>
        <w:pStyle w:val="2"/>
        <w:spacing w:before="53" w:line="333" w:lineRule="auto"/>
        <w:ind w:left="36" w:right="102" w:firstLine="618"/>
      </w:pPr>
      <w:r>
        <w:rPr>
          <w:rFonts w:ascii="黑体" w:hAnsi="黑体" w:eastAsia="黑体" w:cs="黑体"/>
          <w:spacing w:val="9"/>
        </w:rPr>
        <w:t xml:space="preserve">第十四条  </w:t>
      </w:r>
      <w:r>
        <w:rPr>
          <w:spacing w:val="9"/>
        </w:rPr>
        <w:t>评标评审程序应包括评标准备、初</w:t>
      </w:r>
      <w:r>
        <w:rPr>
          <w:spacing w:val="8"/>
        </w:rPr>
        <w:t>步评审、</w:t>
      </w:r>
      <w:r>
        <w:t xml:space="preserve"> </w:t>
      </w:r>
      <w:r>
        <w:rPr>
          <w:spacing w:val="8"/>
        </w:rPr>
        <w:t>详细评审等流程。初步评审包括形式审查、资格审查、响应</w:t>
      </w:r>
    </w:p>
    <w:p>
      <w:pPr>
        <w:spacing w:line="333" w:lineRule="auto"/>
        <w:sectPr>
          <w:footerReference r:id="rId9" w:type="default"/>
          <w:pgSz w:w="11908" w:h="16840"/>
          <w:pgMar w:top="1431" w:right="1700" w:bottom="1291" w:left="1786" w:header="0" w:footer="1013" w:gutter="0"/>
          <w:cols w:space="720" w:num="1"/>
        </w:sectPr>
      </w:pPr>
    </w:p>
    <w:p>
      <w:pPr>
        <w:pStyle w:val="2"/>
        <w:spacing w:before="183" w:line="218" w:lineRule="auto"/>
        <w:ind w:left="32"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性审查等。详细评审包括技术审查、商务审查等。</w:t>
      </w:r>
    </w:p>
    <w:p>
      <w:pPr>
        <w:pStyle w:val="2"/>
        <w:spacing w:before="218" w:line="333" w:lineRule="auto"/>
        <w:ind w:left="23" w:right="19" w:firstLine="631"/>
      </w:pPr>
      <w:r>
        <w:rPr>
          <w:rFonts w:ascii="黑体" w:hAnsi="黑体" w:eastAsia="黑体" w:cs="黑体"/>
          <w:spacing w:val="22"/>
        </w:rPr>
        <w:t xml:space="preserve">第十五条  </w:t>
      </w:r>
      <w:r>
        <w:rPr>
          <w:spacing w:val="22"/>
        </w:rPr>
        <w:t>评标委员会成员在评标前应当认真研究招</w:t>
      </w:r>
      <w:r>
        <w:rPr>
          <w:spacing w:val="3"/>
        </w:rPr>
        <w:t xml:space="preserve"> </w:t>
      </w:r>
      <w:r>
        <w:rPr>
          <w:spacing w:val="8"/>
        </w:rPr>
        <w:t>标文件，至少了解和熟悉以下内容：</w:t>
      </w:r>
    </w:p>
    <w:p>
      <w:pPr>
        <w:pStyle w:val="2"/>
        <w:spacing w:before="59" w:line="218" w:lineRule="auto"/>
        <w:ind w:left="646"/>
      </w:pPr>
      <w:r>
        <w:rPr>
          <w:spacing w:val="8"/>
        </w:rPr>
        <w:t>（一）招标的目标；</w:t>
      </w:r>
    </w:p>
    <w:p>
      <w:pPr>
        <w:pStyle w:val="2"/>
        <w:spacing w:before="223" w:line="218" w:lineRule="auto"/>
        <w:ind w:left="646"/>
      </w:pPr>
      <w:r>
        <w:rPr>
          <w:spacing w:val="8"/>
        </w:rPr>
        <w:t>（二）招标项目的范围和性质；</w:t>
      </w:r>
    </w:p>
    <w:p>
      <w:pPr>
        <w:pStyle w:val="2"/>
        <w:spacing w:before="219" w:line="218" w:lineRule="auto"/>
        <w:jc w:val="right"/>
      </w:pPr>
      <w:r>
        <w:rPr>
          <w:spacing w:val="-3"/>
        </w:rPr>
        <w:t>（三）招标文件确定的主要技术要求、标准和商务条款；</w:t>
      </w:r>
    </w:p>
    <w:p>
      <w:pPr>
        <w:pStyle w:val="2"/>
        <w:spacing w:before="226" w:line="283" w:lineRule="auto"/>
        <w:ind w:left="30" w:right="19" w:firstLine="616"/>
      </w:pPr>
      <w:r>
        <w:rPr>
          <w:spacing w:val="9"/>
        </w:rPr>
        <w:t>（四）招标文件确定的评标标准、评标方法和在评标过</w:t>
      </w:r>
      <w:r>
        <w:rPr>
          <w:spacing w:val="14"/>
        </w:rPr>
        <w:t xml:space="preserve"> </w:t>
      </w:r>
      <w:r>
        <w:rPr>
          <w:spacing w:val="7"/>
        </w:rPr>
        <w:t>程中需考虑的相关因素；</w:t>
      </w:r>
    </w:p>
    <w:p>
      <w:pPr>
        <w:pStyle w:val="2"/>
        <w:spacing w:before="226" w:line="284" w:lineRule="auto"/>
        <w:ind w:left="47" w:right="19" w:firstLine="598"/>
      </w:pPr>
      <w:r>
        <w:rPr>
          <w:spacing w:val="9"/>
        </w:rPr>
        <w:t>（五）招标人或者其委托的招标代理机构提供的评标评</w:t>
      </w:r>
      <w:r>
        <w:rPr>
          <w:spacing w:val="14"/>
        </w:rPr>
        <w:t xml:space="preserve"> </w:t>
      </w:r>
      <w:r>
        <w:rPr>
          <w:spacing w:val="6"/>
        </w:rPr>
        <w:t>审所需的其他重要信息和数据。</w:t>
      </w:r>
    </w:p>
    <w:p>
      <w:pPr>
        <w:pStyle w:val="2"/>
        <w:spacing w:before="220" w:line="330" w:lineRule="auto"/>
        <w:ind w:left="39" w:right="19" w:firstLine="615"/>
      </w:pPr>
      <w:r>
        <w:rPr>
          <w:rFonts w:ascii="黑体" w:hAnsi="黑体" w:eastAsia="黑体" w:cs="黑体"/>
          <w:spacing w:val="9"/>
        </w:rPr>
        <w:t xml:space="preserve">第十六条  </w:t>
      </w:r>
      <w:r>
        <w:rPr>
          <w:spacing w:val="9"/>
        </w:rPr>
        <w:t>评标委员会对投标文件进行形式审</w:t>
      </w:r>
      <w:r>
        <w:rPr>
          <w:spacing w:val="8"/>
        </w:rPr>
        <w:t>查时，有</w:t>
      </w:r>
      <w:r>
        <w:t xml:space="preserve"> </w:t>
      </w:r>
      <w:r>
        <w:rPr>
          <w:spacing w:val="7"/>
        </w:rPr>
        <w:t>下列情形之一的，应当否决其投标：</w:t>
      </w:r>
    </w:p>
    <w:p>
      <w:pPr>
        <w:pStyle w:val="2"/>
        <w:spacing w:before="67" w:line="284" w:lineRule="auto"/>
        <w:ind w:left="25" w:right="19" w:firstLine="621"/>
      </w:pPr>
      <w:r>
        <w:rPr>
          <w:spacing w:val="9"/>
        </w:rPr>
        <w:t>（一）未按招标文件要求进行签章，或者未加盖投标人</w:t>
      </w:r>
      <w:r>
        <w:rPr>
          <w:spacing w:val="14"/>
        </w:rPr>
        <w:t xml:space="preserve"> </w:t>
      </w:r>
      <w:r>
        <w:rPr>
          <w:spacing w:val="8"/>
        </w:rPr>
        <w:t>公章和没有法定代表人或者被授权人签名的；</w:t>
      </w:r>
    </w:p>
    <w:p>
      <w:pPr>
        <w:pStyle w:val="2"/>
        <w:spacing w:before="224" w:line="283" w:lineRule="auto"/>
        <w:ind w:left="23" w:right="19" w:firstLine="622"/>
      </w:pPr>
      <w:r>
        <w:rPr>
          <w:spacing w:val="9"/>
        </w:rPr>
        <w:t>（二）同一投标人提交两份以上不同的投标文件的（招</w:t>
      </w:r>
      <w:r>
        <w:rPr>
          <w:spacing w:val="14"/>
        </w:rPr>
        <w:t xml:space="preserve"> </w:t>
      </w:r>
      <w:r>
        <w:rPr>
          <w:spacing w:val="9"/>
        </w:rPr>
        <w:t>标文件要求提交备选投标的除外</w:t>
      </w:r>
      <w:r>
        <w:rPr>
          <w:spacing w:val="-76"/>
        </w:rPr>
        <w:t>）；</w:t>
      </w:r>
    </w:p>
    <w:p>
      <w:pPr>
        <w:pStyle w:val="2"/>
        <w:spacing w:before="225" w:line="218" w:lineRule="auto"/>
        <w:ind w:left="646"/>
      </w:pPr>
      <w:r>
        <w:rPr>
          <w:spacing w:val="9"/>
        </w:rPr>
        <w:t>（三）不同投标人的投标文件相互混装的；</w:t>
      </w:r>
    </w:p>
    <w:p>
      <w:pPr>
        <w:pStyle w:val="2"/>
        <w:spacing w:before="219" w:line="218" w:lineRule="auto"/>
        <w:ind w:left="646"/>
      </w:pPr>
      <w:r>
        <w:rPr>
          <w:spacing w:val="9"/>
        </w:rPr>
        <w:t>（四）投标联合体没有提交共同投标协议的；</w:t>
      </w:r>
    </w:p>
    <w:p>
      <w:pPr>
        <w:pStyle w:val="2"/>
        <w:spacing w:before="226" w:line="284" w:lineRule="auto"/>
        <w:ind w:left="30" w:right="19" w:firstLine="616"/>
      </w:pPr>
      <w:r>
        <w:rPr>
          <w:spacing w:val="9"/>
        </w:rPr>
        <w:t>（五）其他符合法律、法规、规章及行政规范性文件规</w:t>
      </w:r>
      <w:r>
        <w:rPr>
          <w:spacing w:val="14"/>
        </w:rPr>
        <w:t xml:space="preserve"> </w:t>
      </w:r>
      <w:r>
        <w:rPr>
          <w:spacing w:val="5"/>
        </w:rPr>
        <w:t>定的否决情形。</w:t>
      </w:r>
    </w:p>
    <w:p>
      <w:pPr>
        <w:pStyle w:val="2"/>
        <w:spacing w:before="220" w:line="330" w:lineRule="auto"/>
        <w:ind w:left="41" w:right="19" w:firstLine="613"/>
      </w:pPr>
      <w:r>
        <w:rPr>
          <w:rFonts w:ascii="黑体" w:hAnsi="黑体" w:eastAsia="黑体" w:cs="黑体"/>
          <w:spacing w:val="9"/>
        </w:rPr>
        <w:t xml:space="preserve">第十七条  </w:t>
      </w:r>
      <w:r>
        <w:rPr>
          <w:spacing w:val="9"/>
        </w:rPr>
        <w:t>评标委员会对投标人进行资格审查</w:t>
      </w:r>
      <w:r>
        <w:rPr>
          <w:spacing w:val="8"/>
        </w:rPr>
        <w:t>时，有下</w:t>
      </w:r>
      <w:r>
        <w:t xml:space="preserve"> </w:t>
      </w:r>
      <w:r>
        <w:rPr>
          <w:spacing w:val="7"/>
        </w:rPr>
        <w:t>列情形之一的，应当否决其投标：</w:t>
      </w:r>
    </w:p>
    <w:p>
      <w:pPr>
        <w:pStyle w:val="2"/>
        <w:spacing w:before="69" w:line="218" w:lineRule="auto"/>
        <w:ind w:right="19"/>
        <w:jc w:val="right"/>
      </w:pPr>
      <w:r>
        <w:rPr>
          <w:spacing w:val="7"/>
        </w:rPr>
        <w:t>（一）</w:t>
      </w:r>
      <w:r>
        <w:rPr>
          <w:spacing w:val="-91"/>
        </w:rPr>
        <w:t xml:space="preserve"> </w:t>
      </w:r>
      <w:r>
        <w:rPr>
          <w:spacing w:val="7"/>
        </w:rPr>
        <w:t>以他人名义投标或者以其他弄虚作假方式参</w:t>
      </w:r>
      <w:r>
        <w:rPr>
          <w:spacing w:val="6"/>
        </w:rPr>
        <w:t>与投</w:t>
      </w:r>
    </w:p>
    <w:p>
      <w:pPr>
        <w:spacing w:line="218" w:lineRule="auto"/>
        <w:sectPr>
          <w:footerReference r:id="rId10" w:type="default"/>
          <w:pgSz w:w="11908" w:h="16840"/>
          <w:pgMar w:top="1431" w:right="1784" w:bottom="1293" w:left="1786" w:header="0" w:footer="1013" w:gutter="0"/>
          <w:cols w:space="720" w:num="1"/>
        </w:sectPr>
      </w:pPr>
    </w:p>
    <w:p>
      <w:pPr>
        <w:pStyle w:val="2"/>
        <w:spacing w:before="183" w:line="218" w:lineRule="auto"/>
        <w:ind w:left="23"/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标，或者以串通投标、行贿手段谋取中标的；</w:t>
      </w:r>
    </w:p>
    <w:p>
      <w:pPr>
        <w:pStyle w:val="2"/>
        <w:spacing w:before="218" w:line="285" w:lineRule="auto"/>
        <w:ind w:left="43" w:right="17" w:firstLine="602"/>
      </w:pPr>
      <w:r>
        <w:rPr>
          <w:spacing w:val="9"/>
        </w:rPr>
        <w:t>（二）名称或者统一社会信用代码与营业执照、资质证</w:t>
      </w:r>
      <w:r>
        <w:rPr>
          <w:spacing w:val="14"/>
        </w:rPr>
        <w:t xml:space="preserve"> </w:t>
      </w:r>
      <w:r>
        <w:rPr>
          <w:spacing w:val="7"/>
        </w:rPr>
        <w:t>书等不一致的，或者证照无效的；</w:t>
      </w:r>
    </w:p>
    <w:p>
      <w:pPr>
        <w:pStyle w:val="2"/>
        <w:spacing w:before="219" w:line="218" w:lineRule="auto"/>
        <w:ind w:right="23"/>
        <w:jc w:val="right"/>
      </w:pPr>
      <w:r>
        <w:rPr>
          <w:spacing w:val="9"/>
        </w:rPr>
        <w:t>（三）与招标人存在利害关系可能影响招标公正性的；</w:t>
      </w:r>
    </w:p>
    <w:p>
      <w:pPr>
        <w:pStyle w:val="2"/>
        <w:spacing w:before="222" w:line="317" w:lineRule="auto"/>
        <w:ind w:left="23" w:right="17" w:firstLine="622"/>
      </w:pPr>
      <w:r>
        <w:rPr>
          <w:spacing w:val="9"/>
        </w:rPr>
        <w:t>（四）资格、资质条件不符合国家、省有关规定或者招</w:t>
      </w:r>
      <w:r>
        <w:rPr>
          <w:spacing w:val="14"/>
        </w:rPr>
        <w:t xml:space="preserve"> </w:t>
      </w:r>
      <w:r>
        <w:rPr>
          <w:spacing w:val="9"/>
        </w:rPr>
        <w:t>标文件要求的，或者拒不按照要求对投标文件进行澄清、说</w:t>
      </w:r>
      <w:r>
        <w:t xml:space="preserve"> </w:t>
      </w:r>
      <w:r>
        <w:rPr>
          <w:spacing w:val="9"/>
        </w:rPr>
        <w:t>明、补正的，或者提供的澄清、说明、补正资料无法证明其</w:t>
      </w:r>
      <w:r>
        <w:t xml:space="preserve"> </w:t>
      </w:r>
      <w:r>
        <w:rPr>
          <w:spacing w:val="7"/>
        </w:rPr>
        <w:t>符合投标人资格条件的；</w:t>
      </w:r>
    </w:p>
    <w:p>
      <w:pPr>
        <w:pStyle w:val="2"/>
        <w:spacing w:before="225" w:line="306" w:lineRule="auto"/>
        <w:ind w:left="30" w:right="17" w:firstLine="616"/>
      </w:pPr>
      <w:r>
        <w:rPr>
          <w:spacing w:val="9"/>
        </w:rPr>
        <w:t>（五）采用资格预审方法的招标项目，投标文件与资格</w:t>
      </w:r>
      <w:r>
        <w:rPr>
          <w:spacing w:val="14"/>
        </w:rPr>
        <w:t xml:space="preserve"> </w:t>
      </w:r>
      <w:r>
        <w:rPr>
          <w:spacing w:val="13"/>
        </w:rPr>
        <w:t>预审文件的项目经理不一致（离职、死亡的除外</w:t>
      </w:r>
      <w:r>
        <w:rPr>
          <w:spacing w:val="-43"/>
        </w:rPr>
        <w:t>），</w:t>
      </w:r>
      <w:r>
        <w:rPr>
          <w:spacing w:val="13"/>
        </w:rPr>
        <w:t>且未在</w:t>
      </w:r>
      <w:r>
        <w:t xml:space="preserve"> </w:t>
      </w:r>
      <w:r>
        <w:rPr>
          <w:spacing w:val="8"/>
        </w:rPr>
        <w:t>投标截止时间前经招标人书面同意的；</w:t>
      </w:r>
    </w:p>
    <w:p>
      <w:pPr>
        <w:pStyle w:val="2"/>
        <w:spacing w:before="219" w:line="286" w:lineRule="auto"/>
        <w:ind w:left="30" w:right="17" w:firstLine="616"/>
      </w:pPr>
      <w:r>
        <w:rPr>
          <w:spacing w:val="9"/>
        </w:rPr>
        <w:t>（六）其他符合法律、法规、规章及行政规范性文件规</w:t>
      </w:r>
      <w:r>
        <w:rPr>
          <w:spacing w:val="14"/>
        </w:rPr>
        <w:t xml:space="preserve"> </w:t>
      </w:r>
      <w:r>
        <w:rPr>
          <w:spacing w:val="5"/>
        </w:rPr>
        <w:t>定的否决情形。</w:t>
      </w:r>
    </w:p>
    <w:p>
      <w:pPr>
        <w:pStyle w:val="2"/>
        <w:spacing w:before="215" w:line="333" w:lineRule="auto"/>
        <w:ind w:left="33" w:right="92" w:firstLine="621"/>
      </w:pPr>
      <w:r>
        <w:rPr>
          <w:rFonts w:ascii="黑体" w:hAnsi="黑体" w:eastAsia="黑体" w:cs="黑体"/>
          <w:spacing w:val="6"/>
        </w:rPr>
        <w:t xml:space="preserve">第十八条  </w:t>
      </w:r>
      <w:r>
        <w:rPr>
          <w:spacing w:val="6"/>
        </w:rPr>
        <w:t>评标委员会对投标文件进行响应性</w:t>
      </w:r>
      <w:r>
        <w:rPr>
          <w:spacing w:val="5"/>
        </w:rPr>
        <w:t>审查时，</w:t>
      </w:r>
      <w:r>
        <w:t xml:space="preserve"> </w:t>
      </w:r>
      <w:r>
        <w:rPr>
          <w:spacing w:val="8"/>
        </w:rPr>
        <w:t>有下列情形之一的，应当否决其投标：</w:t>
      </w:r>
    </w:p>
    <w:p>
      <w:pPr>
        <w:pStyle w:val="2"/>
        <w:spacing w:before="59" w:line="218" w:lineRule="auto"/>
        <w:ind w:right="23"/>
        <w:jc w:val="right"/>
      </w:pPr>
      <w:r>
        <w:rPr>
          <w:spacing w:val="9"/>
        </w:rPr>
        <w:t>（一）投标文件载明的投标范围小于招标文件规定的；</w:t>
      </w:r>
    </w:p>
    <w:p>
      <w:pPr>
        <w:pStyle w:val="2"/>
        <w:spacing w:before="224" w:line="218" w:lineRule="auto"/>
        <w:ind w:right="23"/>
        <w:jc w:val="right"/>
      </w:pPr>
      <w:r>
        <w:rPr>
          <w:spacing w:val="9"/>
        </w:rPr>
        <w:t>（二）投标报价超过招标文件规定的最高投标限价的；</w:t>
      </w:r>
    </w:p>
    <w:p>
      <w:pPr>
        <w:pStyle w:val="2"/>
        <w:spacing w:before="219" w:line="285" w:lineRule="auto"/>
        <w:ind w:left="23" w:right="17" w:firstLine="622"/>
      </w:pPr>
      <w:r>
        <w:rPr>
          <w:spacing w:val="9"/>
        </w:rPr>
        <w:t>（三）同一投标人提交两个以上不同的投标报价的（招</w:t>
      </w:r>
      <w:r>
        <w:rPr>
          <w:spacing w:val="14"/>
        </w:rPr>
        <w:t xml:space="preserve"> </w:t>
      </w:r>
      <w:r>
        <w:rPr>
          <w:spacing w:val="9"/>
        </w:rPr>
        <w:t>标文件要求提交备选投标报价的除外</w:t>
      </w:r>
      <w:r>
        <w:rPr>
          <w:spacing w:val="-73"/>
        </w:rPr>
        <w:t>）；</w:t>
      </w:r>
    </w:p>
    <w:p>
      <w:pPr>
        <w:pStyle w:val="2"/>
        <w:spacing w:before="220" w:line="306" w:lineRule="auto"/>
        <w:ind w:left="26" w:right="17" w:firstLine="619"/>
      </w:pPr>
      <w:r>
        <w:rPr>
          <w:spacing w:val="9"/>
        </w:rPr>
        <w:t>（四）投标报价低于成本且经澄清不能证明其合理性，</w:t>
      </w:r>
      <w:r>
        <w:rPr>
          <w:spacing w:val="14"/>
        </w:rPr>
        <w:t xml:space="preserve"> </w:t>
      </w:r>
      <w:r>
        <w:rPr>
          <w:spacing w:val="21"/>
        </w:rPr>
        <w:t>或者提交的相关材料无法证明投标人可以按照其报价以及</w:t>
      </w:r>
      <w:r>
        <w:rPr>
          <w:spacing w:val="15"/>
        </w:rPr>
        <w:t xml:space="preserve"> </w:t>
      </w:r>
      <w:r>
        <w:rPr>
          <w:spacing w:val="9"/>
        </w:rPr>
        <w:t>招标文件规定的质量标准、履行期限等完成招标</w:t>
      </w:r>
      <w:r>
        <w:rPr>
          <w:spacing w:val="8"/>
        </w:rPr>
        <w:t>项目的；</w:t>
      </w:r>
    </w:p>
    <w:p>
      <w:pPr>
        <w:pStyle w:val="2"/>
        <w:spacing w:before="225" w:line="218" w:lineRule="auto"/>
        <w:ind w:right="17"/>
        <w:jc w:val="right"/>
      </w:pPr>
      <w:r>
        <w:rPr>
          <w:spacing w:val="9"/>
        </w:rPr>
        <w:t>（五）投标文件载明的招标项目完成期限超过招标文件</w:t>
      </w:r>
    </w:p>
    <w:p>
      <w:pPr>
        <w:spacing w:line="218" w:lineRule="auto"/>
        <w:sectPr>
          <w:footerReference r:id="rId11" w:type="default"/>
          <w:pgSz w:w="11908" w:h="16840"/>
          <w:pgMar w:top="1431" w:right="1786" w:bottom="1291" w:left="1786" w:header="0" w:footer="1013" w:gutter="0"/>
          <w:cols w:space="720" w:num="1"/>
        </w:sectPr>
      </w:pPr>
    </w:p>
    <w:p>
      <w:pPr>
        <w:pStyle w:val="2"/>
        <w:spacing w:before="184" w:line="218" w:lineRule="auto"/>
        <w:ind w:left="36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规定期限的；</w:t>
      </w:r>
    </w:p>
    <w:p>
      <w:pPr>
        <w:pStyle w:val="2"/>
        <w:spacing w:before="217" w:line="285" w:lineRule="auto"/>
        <w:ind w:left="39" w:right="17" w:firstLine="606"/>
      </w:pPr>
      <w:r>
        <w:rPr>
          <w:spacing w:val="9"/>
        </w:rPr>
        <w:t>（六）投标文件载明的质量标准、保修承诺等低于招标</w:t>
      </w:r>
      <w:r>
        <w:rPr>
          <w:spacing w:val="14"/>
        </w:rPr>
        <w:t xml:space="preserve"> </w:t>
      </w:r>
      <w:r>
        <w:rPr>
          <w:spacing w:val="3"/>
        </w:rPr>
        <w:t>文件要求的；</w:t>
      </w:r>
    </w:p>
    <w:p>
      <w:pPr>
        <w:pStyle w:val="2"/>
        <w:spacing w:before="219" w:line="218" w:lineRule="auto"/>
        <w:ind w:left="646"/>
      </w:pPr>
      <w:r>
        <w:rPr>
          <w:spacing w:val="9"/>
        </w:rPr>
        <w:t>（七）未按照招标文件要求提供投标保证的；</w:t>
      </w:r>
    </w:p>
    <w:p>
      <w:pPr>
        <w:pStyle w:val="2"/>
        <w:spacing w:before="223" w:line="284" w:lineRule="auto"/>
        <w:ind w:left="53" w:right="17" w:firstLine="592"/>
      </w:pPr>
      <w:r>
        <w:rPr>
          <w:spacing w:val="23"/>
        </w:rPr>
        <w:t>（八）其他未响应招标文件提出的实质性要求和条件</w:t>
      </w:r>
      <w:r>
        <w:rPr>
          <w:spacing w:val="11"/>
        </w:rPr>
        <w:t xml:space="preserve"> </w:t>
      </w:r>
      <w:r>
        <w:rPr>
          <w:spacing w:val="-17"/>
        </w:rPr>
        <w:t>的；</w:t>
      </w:r>
    </w:p>
    <w:p>
      <w:pPr>
        <w:pStyle w:val="2"/>
        <w:spacing w:before="222" w:line="284" w:lineRule="auto"/>
        <w:ind w:left="36" w:right="17" w:firstLine="610"/>
      </w:pPr>
      <w:r>
        <w:rPr>
          <w:spacing w:val="9"/>
        </w:rPr>
        <w:t>（九）投标人拒不按照评标委员会要求对投标文件进行</w:t>
      </w:r>
      <w:r>
        <w:rPr>
          <w:spacing w:val="14"/>
        </w:rPr>
        <w:t xml:space="preserve"> </w:t>
      </w:r>
      <w:r>
        <w:rPr>
          <w:spacing w:val="6"/>
        </w:rPr>
        <w:t>澄清、说明或者补正的；</w:t>
      </w:r>
    </w:p>
    <w:p>
      <w:pPr>
        <w:pStyle w:val="2"/>
        <w:spacing w:before="225" w:line="284" w:lineRule="auto"/>
        <w:ind w:left="30" w:right="17" w:firstLine="616"/>
      </w:pPr>
      <w:r>
        <w:rPr>
          <w:spacing w:val="9"/>
        </w:rPr>
        <w:t>（十）其他符合法律、法规、规章及行政规范性文件规</w:t>
      </w:r>
      <w:r>
        <w:rPr>
          <w:spacing w:val="14"/>
        </w:rPr>
        <w:t xml:space="preserve"> </w:t>
      </w:r>
      <w:r>
        <w:rPr>
          <w:spacing w:val="5"/>
        </w:rPr>
        <w:t>定的否决情形。</w:t>
      </w:r>
    </w:p>
    <w:p>
      <w:pPr>
        <w:pStyle w:val="2"/>
        <w:spacing w:before="218" w:line="339" w:lineRule="auto"/>
        <w:ind w:left="28" w:right="17" w:firstLine="626"/>
        <w:jc w:val="both"/>
      </w:pPr>
      <w:r>
        <w:rPr>
          <w:rFonts w:ascii="黑体" w:hAnsi="黑体" w:eastAsia="黑体" w:cs="黑体"/>
          <w:spacing w:val="9"/>
        </w:rPr>
        <w:t xml:space="preserve">第十九条  </w:t>
      </w:r>
      <w:r>
        <w:rPr>
          <w:spacing w:val="9"/>
        </w:rPr>
        <w:t>通过初步评审的投标文件，评标委</w:t>
      </w:r>
      <w:r>
        <w:rPr>
          <w:spacing w:val="8"/>
        </w:rPr>
        <w:t>员会按照</w:t>
      </w:r>
      <w:r>
        <w:t xml:space="preserve"> </w:t>
      </w:r>
      <w:r>
        <w:rPr>
          <w:spacing w:val="9"/>
        </w:rPr>
        <w:t>招标文件确定的评标标准和方法，依法对技术</w:t>
      </w:r>
      <w:r>
        <w:rPr>
          <w:spacing w:val="8"/>
        </w:rPr>
        <w:t>部分和商务部</w:t>
      </w:r>
      <w:r>
        <w:t xml:space="preserve"> </w:t>
      </w:r>
      <w:r>
        <w:rPr>
          <w:spacing w:val="1"/>
        </w:rPr>
        <w:t>分作进一步评审、</w:t>
      </w:r>
      <w:r>
        <w:rPr>
          <w:spacing w:val="-86"/>
        </w:rPr>
        <w:t xml:space="preserve"> </w:t>
      </w:r>
      <w:r>
        <w:rPr>
          <w:spacing w:val="1"/>
        </w:rPr>
        <w:t>比较。</w:t>
      </w:r>
    </w:p>
    <w:p>
      <w:pPr>
        <w:pStyle w:val="2"/>
        <w:spacing w:before="57" w:line="336" w:lineRule="auto"/>
        <w:ind w:left="28" w:right="17" w:firstLine="626"/>
      </w:pPr>
      <w:r>
        <w:rPr>
          <w:spacing w:val="9"/>
        </w:rPr>
        <w:t>评标方法应当为经评审的最低投标价法、综合评估法或</w:t>
      </w:r>
      <w:r>
        <w:rPr>
          <w:spacing w:val="5"/>
        </w:rPr>
        <w:t xml:space="preserve"> </w:t>
      </w:r>
      <w:r>
        <w:rPr>
          <w:spacing w:val="8"/>
        </w:rPr>
        <w:t>者法律、法规允许的其他评标方法。</w:t>
      </w:r>
    </w:p>
    <w:p>
      <w:pPr>
        <w:pStyle w:val="2"/>
        <w:spacing w:before="50" w:line="345" w:lineRule="auto"/>
        <w:ind w:left="26" w:right="17" w:firstLine="628"/>
      </w:pPr>
      <w:r>
        <w:rPr>
          <w:rFonts w:ascii="黑体" w:hAnsi="黑体" w:eastAsia="黑体" w:cs="黑体"/>
          <w:spacing w:val="9"/>
        </w:rPr>
        <w:t xml:space="preserve">第二十条  </w:t>
      </w:r>
      <w:r>
        <w:rPr>
          <w:spacing w:val="9"/>
        </w:rPr>
        <w:t>评标评审过程中，评标委员会成员</w:t>
      </w:r>
      <w:r>
        <w:rPr>
          <w:spacing w:val="8"/>
        </w:rPr>
        <w:t>不得与外</w:t>
      </w:r>
      <w:r>
        <w:t xml:space="preserve"> </w:t>
      </w:r>
      <w:r>
        <w:rPr>
          <w:spacing w:val="9"/>
        </w:rPr>
        <w:t>界联系，确需与外界联系的，经行政监督部门现场</w:t>
      </w:r>
      <w:r>
        <w:rPr>
          <w:spacing w:val="8"/>
        </w:rPr>
        <w:t>监督人员</w:t>
      </w:r>
      <w:r>
        <w:t xml:space="preserve"> </w:t>
      </w:r>
      <w:r>
        <w:rPr>
          <w:spacing w:val="9"/>
        </w:rPr>
        <w:t>或者交易场所现场见证人员同意后，通过评标评审</w:t>
      </w:r>
      <w:r>
        <w:rPr>
          <w:spacing w:val="8"/>
        </w:rPr>
        <w:t>现场专门</w:t>
      </w:r>
      <w:r>
        <w:t xml:space="preserve"> </w:t>
      </w:r>
      <w:r>
        <w:rPr>
          <w:spacing w:val="9"/>
        </w:rPr>
        <w:t>设立的通讯工具与外界进行联系，并做好通讯记录</w:t>
      </w:r>
      <w:r>
        <w:rPr>
          <w:spacing w:val="8"/>
        </w:rPr>
        <w:t>和录音备</w:t>
      </w:r>
      <w:r>
        <w:t xml:space="preserve"> </w:t>
      </w:r>
      <w:r>
        <w:rPr>
          <w:spacing w:val="-3"/>
        </w:rPr>
        <w:t>查。</w:t>
      </w:r>
    </w:p>
    <w:p>
      <w:pPr>
        <w:pStyle w:val="2"/>
        <w:spacing w:before="43" w:line="339" w:lineRule="auto"/>
        <w:ind w:left="26" w:right="17" w:firstLine="628"/>
        <w:jc w:val="both"/>
      </w:pPr>
      <w:r>
        <w:rPr>
          <w:rFonts w:ascii="黑体" w:hAnsi="黑体" w:eastAsia="黑体" w:cs="黑体"/>
          <w:spacing w:val="22"/>
        </w:rPr>
        <w:t xml:space="preserve">第二十一条  </w:t>
      </w:r>
      <w:r>
        <w:rPr>
          <w:spacing w:val="22"/>
        </w:rPr>
        <w:t>交易场所应当向评标专家提供智能辅助</w:t>
      </w:r>
      <w:r>
        <w:rPr>
          <w:spacing w:val="3"/>
        </w:rPr>
        <w:t xml:space="preserve"> </w:t>
      </w:r>
      <w:r>
        <w:rPr>
          <w:spacing w:val="9"/>
        </w:rPr>
        <w:t>评标系统，并会同省相关行政监督部门制定智能评</w:t>
      </w:r>
      <w:r>
        <w:rPr>
          <w:spacing w:val="8"/>
        </w:rPr>
        <w:t>标评审标</w:t>
      </w:r>
      <w:r>
        <w:t xml:space="preserve"> </w:t>
      </w:r>
      <w:r>
        <w:rPr>
          <w:spacing w:val="-3"/>
        </w:rPr>
        <w:t>准。</w:t>
      </w:r>
    </w:p>
    <w:p>
      <w:pPr>
        <w:spacing w:line="339" w:lineRule="auto"/>
        <w:sectPr>
          <w:footerReference r:id="rId12" w:type="default"/>
          <w:pgSz w:w="11908" w:h="16840"/>
          <w:pgMar w:top="1431" w:right="1786" w:bottom="1293" w:left="1786" w:header="0" w:footer="1013" w:gutter="0"/>
          <w:cols w:space="720" w:num="1"/>
        </w:sectPr>
      </w:pPr>
    </w:p>
    <w:p>
      <w:pPr>
        <w:pStyle w:val="2"/>
        <w:spacing w:before="180" w:line="342" w:lineRule="auto"/>
        <w:ind w:left="41" w:right="17" w:firstLine="624"/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交易场所可以在投标文件解密后，提取投标文件硬盘序</w:t>
      </w:r>
      <w:r>
        <w:rPr>
          <w:spacing w:val="18"/>
        </w:rPr>
        <w:t xml:space="preserve"> </w:t>
      </w:r>
      <w:r>
        <w:rPr>
          <w:spacing w:val="11"/>
        </w:rPr>
        <w:t>列号、</w:t>
      </w:r>
      <w:r>
        <w:t>CPU</w:t>
      </w:r>
      <w:r>
        <w:rPr>
          <w:spacing w:val="-51"/>
        </w:rPr>
        <w:t xml:space="preserve"> </w:t>
      </w:r>
      <w:r>
        <w:rPr>
          <w:spacing w:val="11"/>
        </w:rPr>
        <w:t>序列号、网卡</w:t>
      </w:r>
      <w:r>
        <w:rPr>
          <w:spacing w:val="-67"/>
        </w:rPr>
        <w:t xml:space="preserve"> </w:t>
      </w:r>
      <w:r>
        <w:t>MAC</w:t>
      </w:r>
      <w:r>
        <w:rPr>
          <w:spacing w:val="-64"/>
        </w:rPr>
        <w:t xml:space="preserve"> </w:t>
      </w:r>
      <w:r>
        <w:rPr>
          <w:spacing w:val="11"/>
        </w:rPr>
        <w:t>地址、计价软件加密锁序列号</w:t>
      </w:r>
      <w:r>
        <w:t xml:space="preserve"> </w:t>
      </w:r>
      <w:r>
        <w:rPr>
          <w:spacing w:val="8"/>
        </w:rPr>
        <w:t>等投标文件特征码。若特征码有三项及以上异常一致的，交</w:t>
      </w:r>
      <w:r>
        <w:rPr>
          <w:spacing w:val="7"/>
        </w:rPr>
        <w:t xml:space="preserve"> 易场所应当立即提醒评标委员会。</w:t>
      </w:r>
    </w:p>
    <w:p>
      <w:pPr>
        <w:pStyle w:val="2"/>
        <w:spacing w:before="58" w:line="332" w:lineRule="auto"/>
        <w:ind w:left="26" w:right="17" w:firstLine="628"/>
      </w:pPr>
      <w:r>
        <w:rPr>
          <w:spacing w:val="23"/>
        </w:rPr>
        <w:t>评标专家应当使用智能辅助评标系统对投标文件进行</w:t>
      </w:r>
      <w:r>
        <w:rPr>
          <w:spacing w:val="2"/>
        </w:rPr>
        <w:t xml:space="preserve"> </w:t>
      </w:r>
      <w:r>
        <w:rPr>
          <w:spacing w:val="8"/>
        </w:rPr>
        <w:t>评审，并对智能辅助评标结果进行复核和确认。</w:t>
      </w:r>
    </w:p>
    <w:p>
      <w:pPr>
        <w:pStyle w:val="2"/>
        <w:spacing w:before="58" w:line="340" w:lineRule="auto"/>
        <w:ind w:left="41" w:right="17" w:firstLine="613"/>
      </w:pPr>
      <w:r>
        <w:rPr>
          <w:rFonts w:ascii="黑体" w:hAnsi="黑体" w:eastAsia="黑体" w:cs="黑体"/>
          <w:spacing w:val="22"/>
        </w:rPr>
        <w:t xml:space="preserve">第二十二条  </w:t>
      </w:r>
      <w:r>
        <w:rPr>
          <w:spacing w:val="22"/>
        </w:rPr>
        <w:t>交易场所应当加强评标委员会成员评审</w:t>
      </w:r>
      <w:r>
        <w:rPr>
          <w:spacing w:val="3"/>
        </w:rPr>
        <w:t xml:space="preserve"> </w:t>
      </w:r>
      <w:r>
        <w:rPr>
          <w:spacing w:val="8"/>
        </w:rPr>
        <w:t>意见记录管理，确保其参与的评标评审活动全过程行为可追</w:t>
      </w:r>
      <w:r>
        <w:rPr>
          <w:spacing w:val="7"/>
        </w:rPr>
        <w:t xml:space="preserve"> </w:t>
      </w:r>
      <w:r>
        <w:rPr>
          <w:spacing w:val="-11"/>
        </w:rPr>
        <w:t>溯。</w:t>
      </w:r>
    </w:p>
    <w:p>
      <w:pPr>
        <w:pStyle w:val="2"/>
        <w:spacing w:before="51" w:line="342" w:lineRule="auto"/>
        <w:ind w:left="26" w:right="17" w:firstLine="628"/>
        <w:jc w:val="both"/>
      </w:pPr>
      <w:r>
        <w:rPr>
          <w:rFonts w:ascii="黑体" w:hAnsi="黑体" w:eastAsia="黑体" w:cs="黑体"/>
          <w:spacing w:val="2"/>
        </w:rPr>
        <w:t xml:space="preserve">第二十三条 </w:t>
      </w:r>
      <w:r>
        <w:rPr>
          <w:spacing w:val="2"/>
        </w:rPr>
        <w:t>评标委员会完成评标后，应当向招标人提出</w:t>
      </w:r>
      <w:r>
        <w:rPr>
          <w:spacing w:val="16"/>
        </w:rPr>
        <w:t xml:space="preserve"> </w:t>
      </w:r>
      <w:r>
        <w:rPr>
          <w:spacing w:val="9"/>
        </w:rPr>
        <w:t>由评标委员会成员签字的书面评标报告，并通过公</w:t>
      </w:r>
      <w:r>
        <w:rPr>
          <w:spacing w:val="8"/>
        </w:rPr>
        <w:t>共资源交</w:t>
      </w:r>
      <w:r>
        <w:t xml:space="preserve"> </w:t>
      </w:r>
      <w:r>
        <w:rPr>
          <w:spacing w:val="9"/>
        </w:rPr>
        <w:t>易“全省一张网”推送至行政监督部门。招标人、</w:t>
      </w:r>
      <w:r>
        <w:rPr>
          <w:spacing w:val="8"/>
        </w:rPr>
        <w:t>行政监督</w:t>
      </w:r>
      <w:r>
        <w:t xml:space="preserve"> </w:t>
      </w:r>
      <w:r>
        <w:rPr>
          <w:spacing w:val="8"/>
        </w:rPr>
        <w:t>部门应当依法保密管理书面评标报告。</w:t>
      </w:r>
    </w:p>
    <w:p>
      <w:pPr>
        <w:pStyle w:val="2"/>
        <w:spacing w:before="56" w:line="342" w:lineRule="auto"/>
        <w:ind w:left="23" w:right="17" w:firstLine="637"/>
        <w:jc w:val="both"/>
      </w:pPr>
      <w:r>
        <w:rPr>
          <w:spacing w:val="9"/>
        </w:rPr>
        <w:t>对评标结论持有异议的评标委员会成员可以书面方式阐</w:t>
      </w:r>
      <w:r>
        <w:t xml:space="preserve"> </w:t>
      </w:r>
      <w:r>
        <w:rPr>
          <w:spacing w:val="9"/>
        </w:rPr>
        <w:t>述其不同意见和理由。评标委员会成员拒绝在评标报告上签</w:t>
      </w:r>
      <w:r>
        <w:t xml:space="preserve"> </w:t>
      </w:r>
      <w:r>
        <w:rPr>
          <w:spacing w:val="9"/>
        </w:rPr>
        <w:t>字且不陈述其不同意见和理由的，视为同意评标结论。评标</w:t>
      </w:r>
      <w:r>
        <w:t xml:space="preserve"> </w:t>
      </w:r>
      <w:r>
        <w:rPr>
          <w:spacing w:val="8"/>
        </w:rPr>
        <w:t>委员会应当对此作出书面说明并记录在案。</w:t>
      </w:r>
    </w:p>
    <w:p>
      <w:pPr>
        <w:pStyle w:val="2"/>
        <w:spacing w:before="55" w:line="339" w:lineRule="auto"/>
        <w:ind w:left="36" w:right="17" w:firstLine="636"/>
        <w:jc w:val="both"/>
      </w:pPr>
      <w:r>
        <w:rPr>
          <w:spacing w:val="8"/>
        </w:rPr>
        <w:t>有效投标人不足三个时，评标委员会应当对招标是否明</w:t>
      </w:r>
      <w:r>
        <w:rPr>
          <w:spacing w:val="12"/>
        </w:rPr>
        <w:t xml:space="preserve"> </w:t>
      </w:r>
      <w:r>
        <w:rPr>
          <w:spacing w:val="8"/>
        </w:rPr>
        <w:t>显缺乏竞争和是否需要否决全部投标进行论证，并在评标报</w:t>
      </w:r>
      <w:r>
        <w:rPr>
          <w:spacing w:val="12"/>
        </w:rPr>
        <w:t xml:space="preserve"> </w:t>
      </w:r>
      <w:r>
        <w:rPr>
          <w:spacing w:val="7"/>
        </w:rPr>
        <w:t>告中记载讨论过程和结论。</w:t>
      </w:r>
    </w:p>
    <w:p>
      <w:pPr>
        <w:pStyle w:val="2"/>
        <w:spacing w:before="56" w:line="331" w:lineRule="auto"/>
        <w:ind w:left="18" w:right="17" w:firstLine="636"/>
      </w:pPr>
      <w:r>
        <w:rPr>
          <w:rFonts w:ascii="黑体" w:hAnsi="黑体" w:eastAsia="黑体" w:cs="黑体"/>
          <w:spacing w:val="22"/>
        </w:rPr>
        <w:t xml:space="preserve">第二十四条  </w:t>
      </w:r>
      <w:r>
        <w:rPr>
          <w:spacing w:val="22"/>
        </w:rPr>
        <w:t>评标委员会应当依法向招标人提供中标</w:t>
      </w:r>
      <w:r>
        <w:rPr>
          <w:spacing w:val="3"/>
        </w:rPr>
        <w:t xml:space="preserve"> </w:t>
      </w:r>
      <w:r>
        <w:rPr>
          <w:spacing w:val="8"/>
        </w:rPr>
        <w:t>候选人名单，并标明排列顺序。</w:t>
      </w:r>
    </w:p>
    <w:p>
      <w:pPr>
        <w:pStyle w:val="2"/>
        <w:spacing w:before="65" w:line="218" w:lineRule="auto"/>
        <w:ind w:right="17"/>
        <w:jc w:val="right"/>
      </w:pPr>
      <w:r>
        <w:rPr>
          <w:spacing w:val="23"/>
        </w:rPr>
        <w:t>采用综合评估法的，评标委员会应当按照招标文件规</w:t>
      </w:r>
    </w:p>
    <w:p>
      <w:pPr>
        <w:spacing w:line="218" w:lineRule="auto"/>
        <w:sectPr>
          <w:footerReference r:id="rId13" w:type="default"/>
          <w:pgSz w:w="11908" w:h="16840"/>
          <w:pgMar w:top="1431" w:right="1786" w:bottom="1293" w:left="1786" w:header="0" w:footer="1013" w:gutter="0"/>
          <w:cols w:space="720" w:num="1"/>
        </w:sectPr>
      </w:pPr>
    </w:p>
    <w:p>
      <w:pPr>
        <w:pStyle w:val="2"/>
        <w:spacing w:before="185" w:line="339" w:lineRule="auto"/>
        <w:ind w:left="22" w:right="17" w:firstLine="7"/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定，根据评审得分从高到低顺序确定中标候选人名单。得分</w:t>
      </w:r>
      <w:r>
        <w:rPr>
          <w:spacing w:val="18"/>
        </w:rPr>
        <w:t xml:space="preserve"> </w:t>
      </w:r>
      <w:r>
        <w:rPr>
          <w:spacing w:val="9"/>
        </w:rPr>
        <w:t>相同的，根据国家、省相关规定以及招标文件规定的方式，</w:t>
      </w:r>
      <w:r>
        <w:t xml:space="preserve"> </w:t>
      </w:r>
      <w:r>
        <w:rPr>
          <w:spacing w:val="7"/>
        </w:rPr>
        <w:t>进一步明确排名顺序。</w:t>
      </w:r>
    </w:p>
    <w:p>
      <w:pPr>
        <w:pStyle w:val="2"/>
        <w:spacing w:before="53" w:line="339" w:lineRule="auto"/>
        <w:ind w:left="22" w:right="17" w:firstLine="632"/>
        <w:jc w:val="both"/>
      </w:pPr>
      <w:r>
        <w:rPr>
          <w:spacing w:val="9"/>
        </w:rPr>
        <w:t>采用经评审的最低投标价法的，评标委员会应当按照经</w:t>
      </w:r>
      <w:r>
        <w:rPr>
          <w:spacing w:val="5"/>
        </w:rPr>
        <w:t xml:space="preserve"> </w:t>
      </w:r>
      <w:r>
        <w:rPr>
          <w:spacing w:val="9"/>
        </w:rPr>
        <w:t>评审的投标报价由低到高的顺序确定中标候选人名单。报价</w:t>
      </w:r>
      <w:r>
        <w:t xml:space="preserve"> </w:t>
      </w:r>
      <w:r>
        <w:rPr>
          <w:spacing w:val="9"/>
        </w:rPr>
        <w:t>相同的，按照招标文件规定的方式，进一步</w:t>
      </w:r>
      <w:r>
        <w:rPr>
          <w:spacing w:val="8"/>
        </w:rPr>
        <w:t>确定排名顺序。</w:t>
      </w:r>
    </w:p>
    <w:p>
      <w:pPr>
        <w:spacing w:before="55" w:line="226" w:lineRule="auto"/>
        <w:ind w:left="290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第四章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复核管理</w:t>
      </w:r>
    </w:p>
    <w:p>
      <w:pPr>
        <w:pStyle w:val="2"/>
        <w:spacing w:before="207" w:line="342" w:lineRule="auto"/>
        <w:ind w:left="23" w:right="17" w:firstLine="640"/>
      </w:pPr>
      <w:r>
        <w:rPr>
          <w:rFonts w:ascii="黑体" w:hAnsi="黑体" w:eastAsia="黑体" w:cs="黑体"/>
          <w:spacing w:val="8"/>
        </w:rPr>
        <w:t xml:space="preserve">第二十五条  </w:t>
      </w:r>
      <w:r>
        <w:rPr>
          <w:spacing w:val="8"/>
        </w:rPr>
        <w:t>中标候选人公示期间，投标人或者其他利</w:t>
      </w:r>
      <w:r>
        <w:rPr>
          <w:spacing w:val="12"/>
        </w:rPr>
        <w:t xml:space="preserve"> </w:t>
      </w:r>
      <w:r>
        <w:rPr>
          <w:spacing w:val="9"/>
        </w:rPr>
        <w:t>害关系人对评标结果依法提出异议的，招标人应当按规定作</w:t>
      </w:r>
      <w:r>
        <w:t xml:space="preserve"> </w:t>
      </w:r>
      <w:r>
        <w:rPr>
          <w:spacing w:val="9"/>
        </w:rPr>
        <w:t>出答复。答复前需要进行复核的，招标人应当及时组织原评</w:t>
      </w:r>
      <w:r>
        <w:t xml:space="preserve"> </w:t>
      </w:r>
      <w:r>
        <w:rPr>
          <w:spacing w:val="8"/>
        </w:rPr>
        <w:t>标委员会进行复核。复核包括但不限于异议事项。</w:t>
      </w:r>
    </w:p>
    <w:p>
      <w:pPr>
        <w:pStyle w:val="2"/>
        <w:spacing w:before="55" w:line="218" w:lineRule="auto"/>
        <w:ind w:left="668"/>
      </w:pPr>
      <w:r>
        <w:rPr>
          <w:spacing w:val="8"/>
        </w:rPr>
        <w:t>作出答复前，招标人应当依法暂停招标投标活动。</w:t>
      </w:r>
    </w:p>
    <w:p>
      <w:pPr>
        <w:pStyle w:val="2"/>
        <w:spacing w:before="221" w:line="341" w:lineRule="auto"/>
        <w:ind w:left="25" w:right="17" w:firstLine="639"/>
      </w:pPr>
      <w:r>
        <w:rPr>
          <w:rFonts w:ascii="黑体" w:hAnsi="黑体" w:eastAsia="黑体" w:cs="黑体"/>
          <w:spacing w:val="8"/>
        </w:rPr>
        <w:t xml:space="preserve">第二十六条  </w:t>
      </w:r>
      <w:r>
        <w:rPr>
          <w:spacing w:val="8"/>
        </w:rPr>
        <w:t>招标人应当在原交易场所组织复核，交易</w:t>
      </w:r>
      <w:r>
        <w:rPr>
          <w:spacing w:val="12"/>
        </w:rPr>
        <w:t xml:space="preserve"> </w:t>
      </w:r>
      <w:r>
        <w:rPr>
          <w:spacing w:val="9"/>
        </w:rPr>
        <w:t>场所给予配合协助。未在原交易场所进行复核的，复</w:t>
      </w:r>
      <w:r>
        <w:rPr>
          <w:spacing w:val="8"/>
        </w:rPr>
        <w:t>核结果</w:t>
      </w:r>
      <w:r>
        <w:t xml:space="preserve"> </w:t>
      </w:r>
      <w:r>
        <w:rPr>
          <w:spacing w:val="2"/>
        </w:rPr>
        <w:t>无效。</w:t>
      </w:r>
    </w:p>
    <w:p>
      <w:pPr>
        <w:pStyle w:val="2"/>
        <w:spacing w:before="44" w:line="344" w:lineRule="auto"/>
        <w:ind w:left="23" w:right="17" w:firstLine="658"/>
        <w:jc w:val="both"/>
      </w:pPr>
      <w:r>
        <w:rPr>
          <w:spacing w:val="8"/>
        </w:rPr>
        <w:t>完成复核后，评标委员会应当向招标人出具书面复核报</w:t>
      </w:r>
      <w:r>
        <w:rPr>
          <w:spacing w:val="2"/>
        </w:rPr>
        <w:t xml:space="preserve"> </w:t>
      </w:r>
      <w:r>
        <w:rPr>
          <w:spacing w:val="9"/>
        </w:rPr>
        <w:t>告，并通过公共资源交易“全省一张网”推送至行政监督部</w:t>
      </w:r>
      <w:r>
        <w:t xml:space="preserve"> </w:t>
      </w:r>
      <w:r>
        <w:rPr>
          <w:spacing w:val="9"/>
        </w:rPr>
        <w:t>门。维持原评审结论的，应当准确全面记录复核情况；因评</w:t>
      </w:r>
      <w:r>
        <w:t xml:space="preserve"> </w:t>
      </w:r>
      <w:r>
        <w:rPr>
          <w:spacing w:val="9"/>
        </w:rPr>
        <w:t>标委员会成员失误造成评标结果错误的，应当立即纠正并在</w:t>
      </w:r>
      <w:r>
        <w:t xml:space="preserve"> </w:t>
      </w:r>
      <w:r>
        <w:rPr>
          <w:spacing w:val="7"/>
        </w:rPr>
        <w:t>报告中进行说明。</w:t>
      </w:r>
    </w:p>
    <w:p>
      <w:pPr>
        <w:pStyle w:val="2"/>
        <w:spacing w:before="57" w:line="334" w:lineRule="auto"/>
        <w:ind w:left="30" w:right="17" w:firstLine="634"/>
      </w:pPr>
      <w:r>
        <w:rPr>
          <w:spacing w:val="9"/>
        </w:rPr>
        <w:t>进行复核的招标项目，应当遵守本办法关于评</w:t>
      </w:r>
      <w:r>
        <w:rPr>
          <w:spacing w:val="8"/>
        </w:rPr>
        <w:t>标现场管</w:t>
      </w:r>
      <w:r>
        <w:t xml:space="preserve"> </w:t>
      </w:r>
      <w:r>
        <w:rPr>
          <w:spacing w:val="4"/>
        </w:rPr>
        <w:t>理的规定。</w:t>
      </w:r>
    </w:p>
    <w:p>
      <w:pPr>
        <w:pStyle w:val="2"/>
        <w:spacing w:before="54" w:line="221" w:lineRule="auto"/>
        <w:ind w:right="17"/>
        <w:jc w:val="right"/>
      </w:pPr>
      <w:r>
        <w:rPr>
          <w:rFonts w:ascii="黑体" w:hAnsi="黑体" w:eastAsia="黑体" w:cs="黑体"/>
          <w:spacing w:val="21"/>
        </w:rPr>
        <w:t xml:space="preserve">第二十七条  </w:t>
      </w:r>
      <w:r>
        <w:rPr>
          <w:spacing w:val="21"/>
        </w:rPr>
        <w:t>原评标委员会所有成员应当按时参加复</w:t>
      </w:r>
    </w:p>
    <w:p>
      <w:pPr>
        <w:spacing w:line="221" w:lineRule="auto"/>
        <w:sectPr>
          <w:footerReference r:id="rId14" w:type="default"/>
          <w:pgSz w:w="11908" w:h="16840"/>
          <w:pgMar w:top="1431" w:right="1786" w:bottom="1294" w:left="1786" w:header="0" w:footer="1013" w:gutter="0"/>
          <w:cols w:space="720" w:num="1"/>
        </w:sectPr>
      </w:pPr>
    </w:p>
    <w:p>
      <w:pPr>
        <w:pStyle w:val="2"/>
        <w:spacing w:before="183" w:line="220" w:lineRule="auto"/>
        <w:ind w:left="25"/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核。</w:t>
      </w:r>
    </w:p>
    <w:p>
      <w:pPr>
        <w:pStyle w:val="2"/>
        <w:spacing w:before="213" w:line="346" w:lineRule="auto"/>
        <w:ind w:left="30" w:right="17" w:firstLine="672"/>
      </w:pPr>
      <w:r>
        <w:rPr>
          <w:spacing w:val="7"/>
        </w:rPr>
        <w:t>因特殊原因，原评标委员会成员不能到场参加复核的，</w:t>
      </w:r>
      <w:r>
        <w:rPr>
          <w:spacing w:val="5"/>
        </w:rPr>
        <w:t xml:space="preserve"> </w:t>
      </w:r>
      <w:r>
        <w:rPr>
          <w:spacing w:val="8"/>
        </w:rPr>
        <w:t>招标人报经行政监督部门同意后，由交易场所按规定重新抽</w:t>
      </w:r>
      <w:r>
        <w:rPr>
          <w:spacing w:val="18"/>
        </w:rPr>
        <w:t xml:space="preserve"> </w:t>
      </w:r>
      <w:r>
        <w:rPr>
          <w:spacing w:val="8"/>
        </w:rPr>
        <w:t>取专家进行复核，并将专家成员不能到场原因记录在案。无</w:t>
      </w:r>
      <w:r>
        <w:rPr>
          <w:spacing w:val="18"/>
        </w:rPr>
        <w:t xml:space="preserve"> </w:t>
      </w:r>
      <w:r>
        <w:rPr>
          <w:spacing w:val="21"/>
        </w:rPr>
        <w:t>正当理由拒不参加复核的评标专家，按省相关规定加强管</w:t>
      </w:r>
      <w:r>
        <w:rPr>
          <w:spacing w:val="11"/>
        </w:rPr>
        <w:t xml:space="preserve"> </w:t>
      </w:r>
      <w:r>
        <w:rPr>
          <w:spacing w:val="-5"/>
        </w:rPr>
        <w:t>理。</w:t>
      </w:r>
    </w:p>
    <w:p>
      <w:pPr>
        <w:pStyle w:val="2"/>
        <w:spacing w:before="41" w:line="339" w:lineRule="auto"/>
        <w:ind w:left="23" w:right="17" w:firstLine="648"/>
        <w:jc w:val="both"/>
      </w:pPr>
      <w:r>
        <w:rPr>
          <w:spacing w:val="8"/>
        </w:rPr>
        <w:t>经复核认定因评标专家原因造成评标结果错误的，按照</w:t>
      </w:r>
      <w:r>
        <w:rPr>
          <w:spacing w:val="12"/>
        </w:rPr>
        <w:t xml:space="preserve"> </w:t>
      </w:r>
      <w:r>
        <w:rPr>
          <w:spacing w:val="7"/>
        </w:rPr>
        <w:t>“谁过错谁负责”</w:t>
      </w:r>
      <w:r>
        <w:rPr>
          <w:spacing w:val="-104"/>
        </w:rPr>
        <w:t xml:space="preserve"> </w:t>
      </w:r>
      <w:r>
        <w:rPr>
          <w:spacing w:val="7"/>
        </w:rPr>
        <w:t>的原则，根据国家、省相关规定对当事评</w:t>
      </w:r>
      <w:r>
        <w:t xml:space="preserve"> </w:t>
      </w:r>
      <w:r>
        <w:rPr>
          <w:spacing w:val="7"/>
        </w:rPr>
        <w:t>标专家加强管理。</w:t>
      </w:r>
    </w:p>
    <w:p>
      <w:pPr>
        <w:spacing w:before="50" w:line="226" w:lineRule="auto"/>
        <w:ind w:left="290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第五章  工作纪律</w:t>
      </w:r>
    </w:p>
    <w:p>
      <w:pPr>
        <w:pStyle w:val="2"/>
        <w:spacing w:before="214" w:line="341" w:lineRule="auto"/>
        <w:ind w:left="26" w:right="17" w:firstLine="638"/>
        <w:jc w:val="both"/>
      </w:pPr>
      <w:r>
        <w:rPr>
          <w:rFonts w:ascii="黑体" w:hAnsi="黑体" w:eastAsia="黑体" w:cs="黑体"/>
          <w:spacing w:val="21"/>
        </w:rPr>
        <w:t xml:space="preserve">第二十八条  </w:t>
      </w:r>
      <w:r>
        <w:rPr>
          <w:spacing w:val="21"/>
        </w:rPr>
        <w:t>招标人或者其委托的招标代理机构应当</w:t>
      </w:r>
      <w:r>
        <w:rPr>
          <w:spacing w:val="18"/>
        </w:rPr>
        <w:t xml:space="preserve"> </w:t>
      </w:r>
      <w:r>
        <w:rPr>
          <w:spacing w:val="9"/>
        </w:rPr>
        <w:t>采取必要的措施，保证评标评审活动在严格保密的</w:t>
      </w:r>
      <w:r>
        <w:rPr>
          <w:spacing w:val="8"/>
        </w:rPr>
        <w:t>情况下进</w:t>
      </w:r>
      <w:r>
        <w:t xml:space="preserve"> </w:t>
      </w:r>
      <w:r>
        <w:rPr>
          <w:spacing w:val="9"/>
        </w:rPr>
        <w:t>行。任何单位和个人不得非法干预、影响评标评审</w:t>
      </w:r>
      <w:r>
        <w:rPr>
          <w:spacing w:val="8"/>
        </w:rPr>
        <w:t>的过程和</w:t>
      </w:r>
      <w:r>
        <w:t xml:space="preserve"> </w:t>
      </w:r>
      <w:r>
        <w:rPr>
          <w:spacing w:val="2"/>
        </w:rPr>
        <w:t>结果。</w:t>
      </w:r>
    </w:p>
    <w:p>
      <w:pPr>
        <w:pStyle w:val="2"/>
        <w:spacing w:before="59" w:line="330" w:lineRule="auto"/>
        <w:ind w:left="31" w:right="17" w:firstLine="633"/>
      </w:pPr>
      <w:r>
        <w:rPr>
          <w:rFonts w:ascii="黑体" w:hAnsi="黑体" w:eastAsia="黑体" w:cs="黑体"/>
          <w:spacing w:val="21"/>
        </w:rPr>
        <w:t xml:space="preserve">第二十九条  </w:t>
      </w:r>
      <w:r>
        <w:rPr>
          <w:spacing w:val="21"/>
        </w:rPr>
        <w:t>交易场所应当协助招标人或者其委托的</w:t>
      </w:r>
      <w:r>
        <w:rPr>
          <w:spacing w:val="18"/>
        </w:rPr>
        <w:t xml:space="preserve"> </w:t>
      </w:r>
      <w:r>
        <w:rPr>
          <w:spacing w:val="8"/>
        </w:rPr>
        <w:t>招标代理机构严格控制评标评审现场人员数量。</w:t>
      </w:r>
    </w:p>
    <w:p>
      <w:pPr>
        <w:pStyle w:val="2"/>
        <w:spacing w:before="70" w:line="342" w:lineRule="auto"/>
        <w:ind w:left="25" w:right="17" w:firstLine="660"/>
      </w:pPr>
      <w:r>
        <w:rPr>
          <w:spacing w:val="8"/>
        </w:rPr>
        <w:t>除评标委员会成员、行政监督部门现场监督人员、交易</w:t>
      </w:r>
      <w:r>
        <w:t xml:space="preserve"> </w:t>
      </w:r>
      <w:r>
        <w:rPr>
          <w:spacing w:val="9"/>
        </w:rPr>
        <w:t>场所必须的现场见证人员外，其他人员一律不准进入</w:t>
      </w:r>
      <w:r>
        <w:rPr>
          <w:spacing w:val="8"/>
        </w:rPr>
        <w:t>评标评</w:t>
      </w:r>
      <w:r>
        <w:t xml:space="preserve"> </w:t>
      </w:r>
      <w:r>
        <w:rPr>
          <w:spacing w:val="9"/>
        </w:rPr>
        <w:t>审现场。行政监督部门现场监督人员可通过线上监督</w:t>
      </w:r>
      <w:r>
        <w:rPr>
          <w:spacing w:val="8"/>
        </w:rPr>
        <w:t>系统在</w:t>
      </w:r>
      <w:r>
        <w:t xml:space="preserve"> </w:t>
      </w:r>
      <w:r>
        <w:rPr>
          <w:spacing w:val="8"/>
        </w:rPr>
        <w:t>线监督或者在交易场所监督室进行监督。</w:t>
      </w:r>
    </w:p>
    <w:p>
      <w:pPr>
        <w:pStyle w:val="2"/>
        <w:spacing w:before="51" w:line="339" w:lineRule="auto"/>
        <w:ind w:left="23" w:right="17" w:firstLine="640"/>
      </w:pPr>
      <w:r>
        <w:rPr>
          <w:rFonts w:ascii="黑体" w:hAnsi="黑体" w:eastAsia="黑体" w:cs="黑体"/>
          <w:spacing w:val="21"/>
        </w:rPr>
        <w:t xml:space="preserve">第三十条  </w:t>
      </w:r>
      <w:r>
        <w:rPr>
          <w:spacing w:val="21"/>
        </w:rPr>
        <w:t>评标委员会成员应当严格遵守交易场所评</w:t>
      </w:r>
      <w:r>
        <w:rPr>
          <w:spacing w:val="18"/>
        </w:rPr>
        <w:t xml:space="preserve"> </w:t>
      </w:r>
      <w:r>
        <w:rPr>
          <w:spacing w:val="9"/>
        </w:rPr>
        <w:t>标纪律要求，认真履行职责，不得违反法律、法规、规章及</w:t>
      </w:r>
      <w:r>
        <w:t xml:space="preserve"> </w:t>
      </w:r>
      <w:r>
        <w:rPr>
          <w:spacing w:val="8"/>
        </w:rPr>
        <w:t>行政规范性文件相关规定。</w:t>
      </w:r>
    </w:p>
    <w:p>
      <w:pPr>
        <w:spacing w:line="339" w:lineRule="auto"/>
        <w:sectPr>
          <w:footerReference r:id="rId15" w:type="default"/>
          <w:pgSz w:w="11908" w:h="16840"/>
          <w:pgMar w:top="1431" w:right="1786" w:bottom="1294" w:left="1786" w:header="0" w:footer="1013" w:gutter="0"/>
          <w:cols w:space="720" w:num="1"/>
        </w:sectPr>
      </w:pPr>
    </w:p>
    <w:p>
      <w:pPr>
        <w:pStyle w:val="2"/>
        <w:spacing w:before="190" w:line="345" w:lineRule="auto"/>
        <w:ind w:left="26" w:right="15" w:firstLine="643"/>
        <w:jc w:val="both"/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招标人或者其委托的招标代理机构、投标人、交易场所</w:t>
      </w:r>
      <w:r>
        <w:rPr>
          <w:spacing w:val="15"/>
        </w:rPr>
        <w:t xml:space="preserve"> </w:t>
      </w:r>
      <w:r>
        <w:rPr>
          <w:spacing w:val="9"/>
        </w:rPr>
        <w:t>发现评标委员会成员存在《贵州省评标专家评价考核办</w:t>
      </w:r>
      <w:r>
        <w:rPr>
          <w:spacing w:val="8"/>
        </w:rPr>
        <w:t>法》</w:t>
      </w:r>
      <w:r>
        <w:t xml:space="preserve"> </w:t>
      </w:r>
      <w:r>
        <w:rPr>
          <w:spacing w:val="9"/>
        </w:rPr>
        <w:t>明确的不良行为情形，以及法律、法规、规章以及</w:t>
      </w:r>
      <w:r>
        <w:rPr>
          <w:spacing w:val="8"/>
        </w:rPr>
        <w:t>行政规范</w:t>
      </w:r>
      <w:r>
        <w:t xml:space="preserve"> </w:t>
      </w:r>
      <w:r>
        <w:rPr>
          <w:spacing w:val="9"/>
        </w:rPr>
        <w:t>性文件规定的其他违法违规行为的，应当及时向行</w:t>
      </w:r>
      <w:r>
        <w:rPr>
          <w:spacing w:val="8"/>
        </w:rPr>
        <w:t>政监督部</w:t>
      </w:r>
      <w:r>
        <w:t xml:space="preserve"> </w:t>
      </w:r>
      <w:r>
        <w:rPr>
          <w:spacing w:val="9"/>
        </w:rPr>
        <w:t>门报告，并依法依规处理。不良行为人为贵州省综</w:t>
      </w:r>
      <w:r>
        <w:rPr>
          <w:spacing w:val="8"/>
        </w:rPr>
        <w:t>合评标专</w:t>
      </w:r>
      <w:r>
        <w:t xml:space="preserve"> </w:t>
      </w:r>
      <w:r>
        <w:rPr>
          <w:spacing w:val="9"/>
        </w:rPr>
        <w:t>家库评标专家的，不得领取劳务费用，并按相关规</w:t>
      </w:r>
      <w:r>
        <w:rPr>
          <w:spacing w:val="8"/>
        </w:rPr>
        <w:t>定加强管</w:t>
      </w:r>
      <w:r>
        <w:t xml:space="preserve"> </w:t>
      </w:r>
      <w:r>
        <w:rPr>
          <w:spacing w:val="8"/>
        </w:rPr>
        <w:t>理。涉嫌犯罪的，移交公安机关依法处理。</w:t>
      </w:r>
    </w:p>
    <w:p>
      <w:pPr>
        <w:pStyle w:val="2"/>
        <w:spacing w:before="53" w:line="335" w:lineRule="auto"/>
        <w:ind w:left="33" w:right="17" w:firstLine="630"/>
      </w:pPr>
      <w:r>
        <w:rPr>
          <w:spacing w:val="22"/>
        </w:rPr>
        <w:t>评标委员会成员未严格按照招标文件规定的评标标准</w:t>
      </w:r>
      <w:r>
        <w:rPr>
          <w:spacing w:val="16"/>
        </w:rPr>
        <w:t xml:space="preserve"> </w:t>
      </w:r>
      <w:r>
        <w:rPr>
          <w:spacing w:val="8"/>
        </w:rPr>
        <w:t>和方法进行评标评审导致项目复核的，不得领取劳务费用。</w:t>
      </w:r>
    </w:p>
    <w:p>
      <w:pPr>
        <w:spacing w:before="48" w:line="226" w:lineRule="auto"/>
        <w:ind w:left="30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第六章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3"/>
          <w:sz w:val="31"/>
          <w:szCs w:val="31"/>
        </w:rPr>
        <w:t>则</w:t>
      </w:r>
    </w:p>
    <w:p>
      <w:pPr>
        <w:pStyle w:val="2"/>
        <w:spacing w:before="211" w:line="330" w:lineRule="auto"/>
        <w:ind w:left="36" w:right="17" w:firstLine="628"/>
      </w:pPr>
      <w:r>
        <w:rPr>
          <w:rFonts w:ascii="黑体" w:hAnsi="黑体" w:eastAsia="黑体" w:cs="黑体"/>
          <w:spacing w:val="21"/>
        </w:rPr>
        <w:t xml:space="preserve">第三十一条  </w:t>
      </w:r>
      <w:r>
        <w:rPr>
          <w:spacing w:val="21"/>
        </w:rPr>
        <w:t>本办法由贵州省发展和改革委员会会同</w:t>
      </w:r>
      <w:r>
        <w:rPr>
          <w:spacing w:val="18"/>
        </w:rPr>
        <w:t xml:space="preserve"> </w:t>
      </w:r>
      <w:r>
        <w:rPr>
          <w:spacing w:val="8"/>
        </w:rPr>
        <w:t>省有关监督部门、省公共资源交易中心负责解释。</w:t>
      </w:r>
    </w:p>
    <w:p>
      <w:pPr>
        <w:pStyle w:val="2"/>
        <w:spacing w:before="77" w:line="222" w:lineRule="auto"/>
        <w:ind w:right="17"/>
        <w:jc w:val="right"/>
      </w:pPr>
      <w:r>
        <w:rPr>
          <w:rFonts w:ascii="黑体" w:hAnsi="黑体" w:eastAsia="黑体" w:cs="黑体"/>
          <w:spacing w:val="4"/>
        </w:rPr>
        <w:t xml:space="preserve">第三十二条  </w:t>
      </w:r>
      <w:r>
        <w:rPr>
          <w:spacing w:val="4"/>
        </w:rPr>
        <w:t>本办法自</w:t>
      </w:r>
      <w:r>
        <w:rPr>
          <w:spacing w:val="-36"/>
        </w:rPr>
        <w:t xml:space="preserve"> </w:t>
      </w:r>
      <w:r>
        <w:rPr>
          <w:spacing w:val="4"/>
        </w:rPr>
        <w:t>2024</w:t>
      </w:r>
      <w:r>
        <w:rPr>
          <w:spacing w:val="-57"/>
        </w:rPr>
        <w:t xml:space="preserve"> </w:t>
      </w:r>
      <w:r>
        <w:rPr>
          <w:spacing w:val="4"/>
        </w:rPr>
        <w:t>年</w:t>
      </w:r>
      <w:r>
        <w:rPr>
          <w:spacing w:val="-37"/>
        </w:rPr>
        <w:t xml:space="preserve"> </w:t>
      </w:r>
      <w:r>
        <w:rPr>
          <w:spacing w:val="4"/>
        </w:rPr>
        <w:t>7</w:t>
      </w:r>
      <w:r>
        <w:rPr>
          <w:spacing w:val="-45"/>
        </w:rPr>
        <w:t xml:space="preserve"> </w:t>
      </w:r>
      <w:r>
        <w:rPr>
          <w:spacing w:val="4"/>
        </w:rPr>
        <w:t>月</w:t>
      </w:r>
      <w:r>
        <w:rPr>
          <w:spacing w:val="-31"/>
        </w:rPr>
        <w:t xml:space="preserve"> </w:t>
      </w:r>
      <w:r>
        <w:rPr>
          <w:spacing w:val="4"/>
        </w:rPr>
        <w:t>1 日起施行，有效</w:t>
      </w:r>
    </w:p>
    <w:p>
      <w:pPr>
        <w:pStyle w:val="2"/>
        <w:spacing w:before="203" w:line="220" w:lineRule="auto"/>
        <w:ind w:left="31"/>
        <w:outlineLvl w:val="0"/>
      </w:pPr>
      <w:r>
        <w:rPr>
          <w:spacing w:val="-14"/>
        </w:rPr>
        <w:t>期</w:t>
      </w:r>
      <w:r>
        <w:rPr>
          <w:spacing w:val="-35"/>
        </w:rPr>
        <w:t xml:space="preserve"> </w:t>
      </w:r>
      <w:r>
        <w:rPr>
          <w:spacing w:val="-14"/>
        </w:rPr>
        <w:t>3</w:t>
      </w:r>
      <w:r>
        <w:rPr>
          <w:spacing w:val="-58"/>
        </w:rPr>
        <w:t xml:space="preserve"> </w:t>
      </w:r>
      <w:r>
        <w:rPr>
          <w:spacing w:val="-14"/>
        </w:rPr>
        <w:t>年。</w:t>
      </w:r>
    </w:p>
    <w:sectPr>
      <w:footerReference r:id="rId16" w:type="default"/>
      <w:pgSz w:w="11908" w:h="16840"/>
      <w:pgMar w:top="1431" w:right="1786" w:bottom="1294" w:left="1786" w:header="0" w:footer="10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1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10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1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11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1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right="1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>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k3MDBjNmIxMGJkNzdkYTNhMGJlZjhmNGU4NzIxMzUifQ=="/>
  </w:docVars>
  <w:rsids>
    <w:rsidRoot w:val="00000000"/>
    <w:rsid w:val="2EC83B33"/>
    <w:rsid w:val="468F6A53"/>
    <w:rsid w:val="754773B0"/>
    <w:rsid w:val="7C916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5375</Words>
  <Characters>5385</Characters>
  <TotalTime>3</TotalTime>
  <ScaleCrop>false</ScaleCrop>
  <LinksUpToDate>false</LinksUpToDate>
  <CharactersWithSpaces>5646</CharactersWithSpaces>
  <Application>WPS Office_11.8.2.11716_F1E327BC-269C-435d-A152-05C5408002CA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2024-04-09T10:39:00Z</dcterms:created>
  <dc:creator>ysgz</dc:creator>
  <cp:lastModifiedBy>末</cp:lastModifiedBy>
  <dcterms:modified xsi:type="dcterms:W3CDTF">2024-07-08T09:25:02Z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2024-06-12T12:18:48Z</vt:filetime>
  </property>
  <property fmtid="{D5CDD505-2E9C-101B-9397-08002B2CF9AE}" pid="4" name="KSOProductBuildVer">
    <vt:lpwstr>2052-11.8.2.11716</vt:lpwstr>
  </property>
  <property fmtid="{D5CDD505-2E9C-101B-9397-08002B2CF9AE}" pid="5" name="ICV">
    <vt:lpwstr>4C8797EBFC754A5CB895E0D603D28D75</vt:lpwstr>
  </property>
</Properties>
</file>